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65"/>
        <w:gridCol w:w="7413"/>
        <w:gridCol w:w="2399"/>
        <w:gridCol w:w="3517"/>
      </w:tblGrid>
      <w:tr w:rsidR="00935CDE" w:rsidTr="0018306D">
        <w:trPr>
          <w:trHeight w:val="420"/>
        </w:trPr>
        <w:tc>
          <w:tcPr>
            <w:tcW w:w="675" w:type="dxa"/>
          </w:tcPr>
          <w:p w:rsidR="00935CDE" w:rsidRDefault="00935CDE" w:rsidP="00935CDE">
            <w:bookmarkStart w:id="0" w:name="_GoBack"/>
            <w:bookmarkEnd w:id="0"/>
          </w:p>
        </w:tc>
        <w:tc>
          <w:tcPr>
            <w:tcW w:w="7513" w:type="dxa"/>
          </w:tcPr>
          <w:p w:rsidR="00935CDE" w:rsidRDefault="00935CDE" w:rsidP="00935CDE">
            <w:r>
              <w:t>Steg</w:t>
            </w:r>
          </w:p>
        </w:tc>
        <w:tc>
          <w:tcPr>
            <w:tcW w:w="2420" w:type="dxa"/>
          </w:tcPr>
          <w:p w:rsidR="00935CDE" w:rsidRDefault="00935CDE" w:rsidP="00935CDE">
            <w:r>
              <w:t>Ansvar</w:t>
            </w:r>
          </w:p>
        </w:tc>
        <w:tc>
          <w:tcPr>
            <w:tcW w:w="3536" w:type="dxa"/>
          </w:tcPr>
          <w:p w:rsidR="00935CDE" w:rsidRDefault="00935CDE" w:rsidP="00935CDE">
            <w:r>
              <w:t>Anvisning</w:t>
            </w:r>
          </w:p>
        </w:tc>
      </w:tr>
      <w:tr w:rsidR="00935CDE" w:rsidTr="0018306D">
        <w:tc>
          <w:tcPr>
            <w:tcW w:w="675" w:type="dxa"/>
          </w:tcPr>
          <w:p w:rsidR="00935CDE" w:rsidRDefault="00935CDE" w:rsidP="00935CDE"/>
        </w:tc>
        <w:tc>
          <w:tcPr>
            <w:tcW w:w="7513" w:type="dxa"/>
          </w:tcPr>
          <w:p w:rsidR="00935CDE" w:rsidRDefault="00935CDE" w:rsidP="00935CDE">
            <w:r>
              <w:t>Beslut att inleda utredning</w:t>
            </w:r>
          </w:p>
        </w:tc>
        <w:tc>
          <w:tcPr>
            <w:tcW w:w="2420" w:type="dxa"/>
          </w:tcPr>
          <w:p w:rsidR="00935CDE" w:rsidRDefault="00935CDE" w:rsidP="00935CDE">
            <w:r>
              <w:t>Handläggare</w:t>
            </w:r>
          </w:p>
        </w:tc>
        <w:tc>
          <w:tcPr>
            <w:tcW w:w="3536" w:type="dxa"/>
          </w:tcPr>
          <w:p w:rsidR="00935CDE" w:rsidRDefault="00935CDE" w:rsidP="00935CDE"/>
        </w:tc>
      </w:tr>
      <w:tr w:rsidR="00935CDE" w:rsidTr="0018306D">
        <w:tc>
          <w:tcPr>
            <w:tcW w:w="675" w:type="dxa"/>
          </w:tcPr>
          <w:p w:rsidR="00935CDE" w:rsidRDefault="00935CDE" w:rsidP="00935CDE"/>
        </w:tc>
        <w:tc>
          <w:tcPr>
            <w:tcW w:w="7513" w:type="dxa"/>
          </w:tcPr>
          <w:p w:rsidR="00935CDE" w:rsidRDefault="00935CDE" w:rsidP="00935CDE">
            <w:r>
              <w:t>Kalla till utredningssamtal/alternativt hembesök</w:t>
            </w:r>
          </w:p>
        </w:tc>
        <w:tc>
          <w:tcPr>
            <w:tcW w:w="2420" w:type="dxa"/>
          </w:tcPr>
          <w:p w:rsidR="00935CDE" w:rsidRDefault="0062564C" w:rsidP="00935CDE">
            <w:r>
              <w:t>Handläggare</w:t>
            </w:r>
          </w:p>
        </w:tc>
        <w:tc>
          <w:tcPr>
            <w:tcW w:w="3536" w:type="dxa"/>
          </w:tcPr>
          <w:p w:rsidR="00935CDE" w:rsidRDefault="00935CDE" w:rsidP="00935CDE"/>
        </w:tc>
      </w:tr>
      <w:tr w:rsidR="00935CDE" w:rsidTr="0018306D">
        <w:tc>
          <w:tcPr>
            <w:tcW w:w="675" w:type="dxa"/>
          </w:tcPr>
          <w:p w:rsidR="00935CDE" w:rsidRDefault="00935CDE" w:rsidP="00935CDE"/>
        </w:tc>
        <w:tc>
          <w:tcPr>
            <w:tcW w:w="7513" w:type="dxa"/>
          </w:tcPr>
          <w:p w:rsidR="00935CDE" w:rsidRDefault="00935CDE" w:rsidP="00935CDE">
            <w:r>
              <w:t>Planera utredningsarbetet tillsammans med klienten</w:t>
            </w:r>
          </w:p>
        </w:tc>
        <w:tc>
          <w:tcPr>
            <w:tcW w:w="2420" w:type="dxa"/>
          </w:tcPr>
          <w:p w:rsidR="00935CDE" w:rsidRDefault="0062564C" w:rsidP="00935CDE">
            <w:r>
              <w:t>Handläggare</w:t>
            </w:r>
          </w:p>
        </w:tc>
        <w:tc>
          <w:tcPr>
            <w:tcW w:w="3536" w:type="dxa"/>
          </w:tcPr>
          <w:p w:rsidR="00935CDE" w:rsidRDefault="00935CDE" w:rsidP="00935CDE"/>
        </w:tc>
      </w:tr>
      <w:tr w:rsidR="00935CDE" w:rsidTr="0018306D">
        <w:tc>
          <w:tcPr>
            <w:tcW w:w="675" w:type="dxa"/>
          </w:tcPr>
          <w:p w:rsidR="00935CDE" w:rsidRDefault="00935CDE" w:rsidP="00935CDE"/>
        </w:tc>
        <w:tc>
          <w:tcPr>
            <w:tcW w:w="7513" w:type="dxa"/>
          </w:tcPr>
          <w:p w:rsidR="00935CDE" w:rsidRDefault="00935CDE" w:rsidP="00935CDE">
            <w:r>
              <w:t>Gör klart att klient samtycker till nödvändiga kontakter</w:t>
            </w:r>
          </w:p>
        </w:tc>
        <w:tc>
          <w:tcPr>
            <w:tcW w:w="2420" w:type="dxa"/>
          </w:tcPr>
          <w:p w:rsidR="00935CDE" w:rsidRDefault="00F27F15" w:rsidP="00935CDE">
            <w:r>
              <w:t>Handläggare</w:t>
            </w:r>
          </w:p>
        </w:tc>
        <w:tc>
          <w:tcPr>
            <w:tcW w:w="3536" w:type="dxa"/>
          </w:tcPr>
          <w:p w:rsidR="00935CDE" w:rsidRDefault="00935CDE" w:rsidP="00F27F15">
            <w:r>
              <w:t xml:space="preserve">Dokumenteras i </w:t>
            </w:r>
            <w:r w:rsidR="00F27F15">
              <w:t>Combine</w:t>
            </w:r>
            <w:r>
              <w:t xml:space="preserve"> under samtycke</w:t>
            </w:r>
          </w:p>
        </w:tc>
      </w:tr>
      <w:tr w:rsidR="00935CDE" w:rsidTr="0018306D">
        <w:tc>
          <w:tcPr>
            <w:tcW w:w="675" w:type="dxa"/>
          </w:tcPr>
          <w:p w:rsidR="00935CDE" w:rsidRDefault="00935CDE" w:rsidP="00935CDE"/>
        </w:tc>
        <w:tc>
          <w:tcPr>
            <w:tcW w:w="7513" w:type="dxa"/>
          </w:tcPr>
          <w:p w:rsidR="00935CDE" w:rsidRDefault="00935CDE" w:rsidP="00F27F15">
            <w:r>
              <w:t>Inhämta nödvändiga uppgifter som journalförs löpande. Kan t.ex ske genom möte med klient, anhörig, arbetsgivare, genom att begära utlåtande från t.ex läkare</w:t>
            </w:r>
            <w:r w:rsidR="00F27F15">
              <w:t xml:space="preserve"> (vilket ofta har en central betydelse)</w:t>
            </w:r>
            <w:r>
              <w:t>, genom självskattningsskalor och bedömningsinstrument. MI-samtal som grund.</w:t>
            </w:r>
            <w:r w:rsidR="00F27F15">
              <w:t xml:space="preserve"> Uppföljning med eventuella utförare.</w:t>
            </w:r>
          </w:p>
        </w:tc>
        <w:tc>
          <w:tcPr>
            <w:tcW w:w="2420" w:type="dxa"/>
          </w:tcPr>
          <w:p w:rsidR="00935CDE" w:rsidRDefault="00F27F15" w:rsidP="00935CDE">
            <w:r>
              <w:t>Handläggare</w:t>
            </w:r>
          </w:p>
        </w:tc>
        <w:tc>
          <w:tcPr>
            <w:tcW w:w="3536" w:type="dxa"/>
          </w:tcPr>
          <w:p w:rsidR="00935CDE" w:rsidRDefault="00935CDE" w:rsidP="00935CDE">
            <w:r>
              <w:t>AUDIT DUDIT MET</w:t>
            </w:r>
          </w:p>
        </w:tc>
      </w:tr>
      <w:tr w:rsidR="00935CDE" w:rsidTr="0018306D">
        <w:tc>
          <w:tcPr>
            <w:tcW w:w="675" w:type="dxa"/>
          </w:tcPr>
          <w:p w:rsidR="00935CDE" w:rsidRDefault="00935CDE" w:rsidP="00935CDE"/>
        </w:tc>
        <w:tc>
          <w:tcPr>
            <w:tcW w:w="7513" w:type="dxa"/>
          </w:tcPr>
          <w:p w:rsidR="00935CDE" w:rsidRDefault="00935CDE" w:rsidP="00935CDE">
            <w:r>
              <w:t>ASI- intervju görs</w:t>
            </w:r>
            <w:r w:rsidR="00F27F15">
              <w:t xml:space="preserve"> vid behov</w:t>
            </w:r>
            <w:r>
              <w:t xml:space="preserve"> och förs in i ASI klient.</w:t>
            </w:r>
          </w:p>
        </w:tc>
        <w:tc>
          <w:tcPr>
            <w:tcW w:w="2420" w:type="dxa"/>
          </w:tcPr>
          <w:p w:rsidR="00935CDE" w:rsidRDefault="00F27F15" w:rsidP="00935CDE">
            <w:r>
              <w:t>Handläggare</w:t>
            </w:r>
          </w:p>
        </w:tc>
        <w:tc>
          <w:tcPr>
            <w:tcW w:w="3536" w:type="dxa"/>
          </w:tcPr>
          <w:p w:rsidR="00935CDE" w:rsidRDefault="00935CDE" w:rsidP="00935CDE"/>
        </w:tc>
      </w:tr>
      <w:tr w:rsidR="00935CDE" w:rsidTr="0018306D">
        <w:tc>
          <w:tcPr>
            <w:tcW w:w="675" w:type="dxa"/>
          </w:tcPr>
          <w:p w:rsidR="00935CDE" w:rsidRDefault="00935CDE" w:rsidP="00935CDE"/>
        </w:tc>
        <w:tc>
          <w:tcPr>
            <w:tcW w:w="7513" w:type="dxa"/>
          </w:tcPr>
          <w:p w:rsidR="00935CDE" w:rsidRDefault="00935CDE" w:rsidP="00935CDE">
            <w:r>
              <w:t>Skriv utredning och bedöm behov</w:t>
            </w:r>
          </w:p>
        </w:tc>
        <w:tc>
          <w:tcPr>
            <w:tcW w:w="2420" w:type="dxa"/>
          </w:tcPr>
          <w:p w:rsidR="00935CDE" w:rsidRDefault="00F27F15" w:rsidP="00935CDE">
            <w:r>
              <w:t>Handläggare</w:t>
            </w:r>
          </w:p>
        </w:tc>
        <w:tc>
          <w:tcPr>
            <w:tcW w:w="3536" w:type="dxa"/>
          </w:tcPr>
          <w:p w:rsidR="00935CDE" w:rsidRDefault="00012B98" w:rsidP="00935CDE">
            <w:r>
              <w:t>Slutsignera ej utredningen.</w:t>
            </w:r>
          </w:p>
        </w:tc>
      </w:tr>
      <w:tr w:rsidR="00935CDE" w:rsidTr="0018306D">
        <w:tc>
          <w:tcPr>
            <w:tcW w:w="675" w:type="dxa"/>
          </w:tcPr>
          <w:p w:rsidR="00935CDE" w:rsidRDefault="00935CDE" w:rsidP="00935CDE"/>
        </w:tc>
        <w:tc>
          <w:tcPr>
            <w:tcW w:w="7513" w:type="dxa"/>
          </w:tcPr>
          <w:p w:rsidR="00935CDE" w:rsidRDefault="00012B98" w:rsidP="00935CDE">
            <w:r w:rsidRPr="00012B98">
              <w:t>Formulera övergripande mål för föreslagna insatser</w:t>
            </w:r>
            <w:r>
              <w:t>. Vid placering i ett HVB eller familjehem skall även en vårdplan upprättas.</w:t>
            </w:r>
          </w:p>
        </w:tc>
        <w:tc>
          <w:tcPr>
            <w:tcW w:w="2420" w:type="dxa"/>
          </w:tcPr>
          <w:p w:rsidR="00935CDE" w:rsidRDefault="009F7E18" w:rsidP="00935CDE">
            <w:r>
              <w:t>Handläggare</w:t>
            </w:r>
          </w:p>
        </w:tc>
        <w:tc>
          <w:tcPr>
            <w:tcW w:w="3536" w:type="dxa"/>
          </w:tcPr>
          <w:p w:rsidR="00935CDE" w:rsidRDefault="00935CDE" w:rsidP="00935CDE"/>
        </w:tc>
      </w:tr>
      <w:tr w:rsidR="00012B98" w:rsidTr="0018306D">
        <w:tc>
          <w:tcPr>
            <w:tcW w:w="675" w:type="dxa"/>
          </w:tcPr>
          <w:p w:rsidR="00012B98" w:rsidRDefault="00012B98" w:rsidP="00935CDE"/>
        </w:tc>
        <w:tc>
          <w:tcPr>
            <w:tcW w:w="7513" w:type="dxa"/>
          </w:tcPr>
          <w:p w:rsidR="00012B98" w:rsidRPr="00012B98" w:rsidRDefault="00012B98" w:rsidP="00935CDE">
            <w:r>
              <w:t>Om handläggare ej har delegation lämnas beslutsunderlaget till delegat för genomläsning och godkännande antingen via mail i verksamhetssytemet eller postfack.</w:t>
            </w:r>
          </w:p>
        </w:tc>
        <w:tc>
          <w:tcPr>
            <w:tcW w:w="2420" w:type="dxa"/>
          </w:tcPr>
          <w:p w:rsidR="00012B98" w:rsidRDefault="0037368D" w:rsidP="00935CDE">
            <w:r>
              <w:t>Handläggare</w:t>
            </w:r>
          </w:p>
        </w:tc>
        <w:tc>
          <w:tcPr>
            <w:tcW w:w="3536" w:type="dxa"/>
          </w:tcPr>
          <w:p w:rsidR="00012B98" w:rsidRDefault="0037368D" w:rsidP="00935CDE">
            <w:r>
              <w:t>Delegationsbestämmelser</w:t>
            </w:r>
          </w:p>
        </w:tc>
      </w:tr>
      <w:tr w:rsidR="00935CDE" w:rsidTr="0018306D">
        <w:tc>
          <w:tcPr>
            <w:tcW w:w="675" w:type="dxa"/>
          </w:tcPr>
          <w:p w:rsidR="00935CDE" w:rsidRDefault="00935CDE" w:rsidP="00935CDE"/>
        </w:tc>
        <w:tc>
          <w:tcPr>
            <w:tcW w:w="7513" w:type="dxa"/>
          </w:tcPr>
          <w:p w:rsidR="00935CDE" w:rsidRDefault="00012B98" w:rsidP="0037368D">
            <w:r w:rsidRPr="00012B98">
              <w:t xml:space="preserve">Kommunicera </w:t>
            </w:r>
            <w:r w:rsidR="0037368D">
              <w:t>betydelsefullt material på lämpligt sätt om det inte är uppenbart obehövligt.</w:t>
            </w:r>
            <w:r>
              <w:t xml:space="preserve"> </w:t>
            </w:r>
            <w:r w:rsidRPr="00012B98">
              <w:t>Ev synpunkter ti</w:t>
            </w:r>
            <w:r>
              <w:t>l</w:t>
            </w:r>
            <w:r w:rsidRPr="00012B98">
              <w:t>lförs i utredningsdokumentet</w:t>
            </w:r>
            <w:r w:rsidR="0037368D">
              <w:t>.</w:t>
            </w:r>
          </w:p>
        </w:tc>
        <w:tc>
          <w:tcPr>
            <w:tcW w:w="2420" w:type="dxa"/>
          </w:tcPr>
          <w:p w:rsidR="00935CDE" w:rsidRDefault="0037368D" w:rsidP="00935CDE">
            <w:r>
              <w:t>Handläggare</w:t>
            </w:r>
          </w:p>
        </w:tc>
        <w:tc>
          <w:tcPr>
            <w:tcW w:w="3536" w:type="dxa"/>
          </w:tcPr>
          <w:p w:rsidR="00935CDE" w:rsidRDefault="00935CDE" w:rsidP="00935CDE"/>
        </w:tc>
      </w:tr>
      <w:tr w:rsidR="00012B98" w:rsidTr="0018306D">
        <w:tc>
          <w:tcPr>
            <w:tcW w:w="675" w:type="dxa"/>
          </w:tcPr>
          <w:p w:rsidR="00012B98" w:rsidRDefault="00012B98" w:rsidP="00935CDE"/>
        </w:tc>
        <w:tc>
          <w:tcPr>
            <w:tcW w:w="7513" w:type="dxa"/>
          </w:tcPr>
          <w:p w:rsidR="00012B98" w:rsidRPr="00012B98" w:rsidRDefault="0018306D" w:rsidP="00935CDE">
            <w:r>
              <w:t xml:space="preserve">Slutsignera utredning, fatta beslut och skriv ut </w:t>
            </w:r>
          </w:p>
        </w:tc>
        <w:tc>
          <w:tcPr>
            <w:tcW w:w="2420" w:type="dxa"/>
          </w:tcPr>
          <w:p w:rsidR="00012B98" w:rsidRDefault="0037368D" w:rsidP="00935CDE">
            <w:r>
              <w:t>Handläggare</w:t>
            </w:r>
          </w:p>
        </w:tc>
        <w:tc>
          <w:tcPr>
            <w:tcW w:w="3536" w:type="dxa"/>
          </w:tcPr>
          <w:p w:rsidR="00012B98" w:rsidRDefault="00012B98" w:rsidP="00935CDE"/>
        </w:tc>
      </w:tr>
      <w:tr w:rsidR="00012B98" w:rsidTr="0018306D">
        <w:tc>
          <w:tcPr>
            <w:tcW w:w="675" w:type="dxa"/>
          </w:tcPr>
          <w:p w:rsidR="00012B98" w:rsidRDefault="00012B98" w:rsidP="00935CDE"/>
        </w:tc>
        <w:tc>
          <w:tcPr>
            <w:tcW w:w="7513" w:type="dxa"/>
          </w:tcPr>
          <w:p w:rsidR="00012B98" w:rsidRPr="00012B98" w:rsidRDefault="0018306D" w:rsidP="00935CDE">
            <w:r>
              <w:t>Delge beslut och beslutsunderlag</w:t>
            </w:r>
            <w:r w:rsidR="0062564C">
              <w:t>. Vid avslag skall alltid besvärshänvisning bifogas.</w:t>
            </w:r>
          </w:p>
        </w:tc>
        <w:tc>
          <w:tcPr>
            <w:tcW w:w="2420" w:type="dxa"/>
          </w:tcPr>
          <w:p w:rsidR="00012B98" w:rsidRDefault="0037368D" w:rsidP="00935CDE">
            <w:r>
              <w:t>Handläggare</w:t>
            </w:r>
          </w:p>
        </w:tc>
        <w:tc>
          <w:tcPr>
            <w:tcW w:w="3536" w:type="dxa"/>
          </w:tcPr>
          <w:p w:rsidR="00012B98" w:rsidRDefault="0062564C" w:rsidP="00935CDE">
            <w:r>
              <w:t>Tänk på god man/förvaltare</w:t>
            </w:r>
            <w:r w:rsidR="0018306D">
              <w:t>.</w:t>
            </w:r>
          </w:p>
        </w:tc>
      </w:tr>
    </w:tbl>
    <w:p w:rsidR="00C74E68" w:rsidRPr="00935CDE" w:rsidRDefault="00C74E68" w:rsidP="00012B98"/>
    <w:sectPr w:rsidR="00C74E68" w:rsidRPr="00935CDE" w:rsidSect="00D4644C">
      <w:footerReference w:type="default" r:id="rId6"/>
      <w:headerReference w:type="first" r:id="rId7"/>
      <w:foot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272" w:rsidRDefault="00311272" w:rsidP="00162FBD">
      <w:pPr>
        <w:spacing w:after="0" w:line="240" w:lineRule="auto"/>
      </w:pPr>
      <w:r>
        <w:separator/>
      </w:r>
    </w:p>
  </w:endnote>
  <w:endnote w:type="continuationSeparator" w:id="0">
    <w:p w:rsidR="00311272" w:rsidRDefault="00311272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F15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141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272" w:rsidRDefault="00311272" w:rsidP="00162FBD">
      <w:pPr>
        <w:spacing w:after="0" w:line="240" w:lineRule="auto"/>
      </w:pPr>
      <w:r>
        <w:separator/>
      </w:r>
    </w:p>
  </w:footnote>
  <w:footnote w:type="continuationSeparator" w:id="0">
    <w:p w:rsidR="00311272" w:rsidRDefault="00311272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579"/>
      <w:gridCol w:w="4520"/>
      <w:gridCol w:w="2446"/>
      <w:gridCol w:w="2449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094CFEF7" wp14:editId="69DE0452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935CDE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935CDE" w:rsidP="00162FBD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SoL-utredning vux</w:t>
          </w: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Reviderad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A86EC8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Arbetsgrupp</w:t>
          </w:r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A86EC8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D93ED5" w:rsidP="00D93ED5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2018</w:t>
          </w:r>
          <w:r w:rsidR="0037368D">
            <w:rPr>
              <w:rFonts w:ascii="Arial" w:hAnsi="Arial" w:cs="Arial"/>
            </w:rPr>
            <w:t>-</w:t>
          </w:r>
          <w:r>
            <w:rPr>
              <w:rFonts w:ascii="Arial" w:hAnsi="Arial" w:cs="Arial"/>
            </w:rPr>
            <w:t>09-01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5A4C64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2021-04-27</w:t>
          </w:r>
        </w:p>
      </w:tc>
    </w:tr>
  </w:tbl>
  <w:p w:rsidR="00162FBD" w:rsidRDefault="00162FB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BD"/>
    <w:rsid w:val="00000E28"/>
    <w:rsid w:val="0001166B"/>
    <w:rsid w:val="00012B98"/>
    <w:rsid w:val="00015376"/>
    <w:rsid w:val="000647BD"/>
    <w:rsid w:val="00071B82"/>
    <w:rsid w:val="00072727"/>
    <w:rsid w:val="00077521"/>
    <w:rsid w:val="00096CDE"/>
    <w:rsid w:val="000A6B62"/>
    <w:rsid w:val="0011225F"/>
    <w:rsid w:val="00120313"/>
    <w:rsid w:val="00133345"/>
    <w:rsid w:val="00162FBD"/>
    <w:rsid w:val="00176661"/>
    <w:rsid w:val="0018306D"/>
    <w:rsid w:val="001E5DBB"/>
    <w:rsid w:val="001F4E83"/>
    <w:rsid w:val="00254CF1"/>
    <w:rsid w:val="002566E8"/>
    <w:rsid w:val="00284786"/>
    <w:rsid w:val="002C4A6A"/>
    <w:rsid w:val="002E59CD"/>
    <w:rsid w:val="002F5A22"/>
    <w:rsid w:val="00311272"/>
    <w:rsid w:val="00322EE8"/>
    <w:rsid w:val="00356B8D"/>
    <w:rsid w:val="0037368D"/>
    <w:rsid w:val="003759E2"/>
    <w:rsid w:val="003F0E6E"/>
    <w:rsid w:val="003F5484"/>
    <w:rsid w:val="00456FDE"/>
    <w:rsid w:val="00464A17"/>
    <w:rsid w:val="00483424"/>
    <w:rsid w:val="004919D4"/>
    <w:rsid w:val="004D67A8"/>
    <w:rsid w:val="004E3465"/>
    <w:rsid w:val="004F160B"/>
    <w:rsid w:val="004F7C30"/>
    <w:rsid w:val="005369BB"/>
    <w:rsid w:val="005A4C64"/>
    <w:rsid w:val="0062564C"/>
    <w:rsid w:val="00654EB5"/>
    <w:rsid w:val="00660316"/>
    <w:rsid w:val="00666141"/>
    <w:rsid w:val="00674BDD"/>
    <w:rsid w:val="006A1A90"/>
    <w:rsid w:val="006C6148"/>
    <w:rsid w:val="006F124A"/>
    <w:rsid w:val="007141B9"/>
    <w:rsid w:val="00714D71"/>
    <w:rsid w:val="00735D7D"/>
    <w:rsid w:val="00745433"/>
    <w:rsid w:val="00777C99"/>
    <w:rsid w:val="00793655"/>
    <w:rsid w:val="007D7997"/>
    <w:rsid w:val="007F1BE1"/>
    <w:rsid w:val="00827C18"/>
    <w:rsid w:val="00830527"/>
    <w:rsid w:val="00870851"/>
    <w:rsid w:val="008767FD"/>
    <w:rsid w:val="00892305"/>
    <w:rsid w:val="008A57E3"/>
    <w:rsid w:val="008C37D8"/>
    <w:rsid w:val="00911972"/>
    <w:rsid w:val="00927C29"/>
    <w:rsid w:val="00932FBB"/>
    <w:rsid w:val="00935CDE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9F7E18"/>
    <w:rsid w:val="00A050D9"/>
    <w:rsid w:val="00A23303"/>
    <w:rsid w:val="00A34157"/>
    <w:rsid w:val="00A86EC8"/>
    <w:rsid w:val="00A8798C"/>
    <w:rsid w:val="00A95A05"/>
    <w:rsid w:val="00AF6C95"/>
    <w:rsid w:val="00B14974"/>
    <w:rsid w:val="00B545C4"/>
    <w:rsid w:val="00BB4AE2"/>
    <w:rsid w:val="00BC0F48"/>
    <w:rsid w:val="00BC6F0A"/>
    <w:rsid w:val="00BE44D6"/>
    <w:rsid w:val="00C11A60"/>
    <w:rsid w:val="00C43003"/>
    <w:rsid w:val="00C619E1"/>
    <w:rsid w:val="00C74E68"/>
    <w:rsid w:val="00C87A90"/>
    <w:rsid w:val="00D4644C"/>
    <w:rsid w:val="00D60AC4"/>
    <w:rsid w:val="00D7699F"/>
    <w:rsid w:val="00D846C9"/>
    <w:rsid w:val="00D93ED5"/>
    <w:rsid w:val="00D94559"/>
    <w:rsid w:val="00DA2CC6"/>
    <w:rsid w:val="00DA356E"/>
    <w:rsid w:val="00DD4FA4"/>
    <w:rsid w:val="00DF1F80"/>
    <w:rsid w:val="00DF54DD"/>
    <w:rsid w:val="00E1531E"/>
    <w:rsid w:val="00E27BCA"/>
    <w:rsid w:val="00E84432"/>
    <w:rsid w:val="00EA08A0"/>
    <w:rsid w:val="00EA34C0"/>
    <w:rsid w:val="00F27F15"/>
    <w:rsid w:val="00F427C2"/>
    <w:rsid w:val="00F513B9"/>
    <w:rsid w:val="00F661AC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8083510-67CF-4492-ADFE-D3639677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1240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Bäckström, Carina</cp:lastModifiedBy>
  <cp:revision>2</cp:revision>
  <dcterms:created xsi:type="dcterms:W3CDTF">2021-05-12T07:30:00Z</dcterms:created>
  <dcterms:modified xsi:type="dcterms:W3CDTF">2021-05-12T07:30:00Z</dcterms:modified>
</cp:coreProperties>
</file>