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79"/>
        <w:gridCol w:w="1762"/>
        <w:gridCol w:w="2627"/>
        <w:gridCol w:w="2194"/>
      </w:tblGrid>
      <w:tr w:rsidR="00E51DE5" w:rsidRPr="00312162" w:rsidTr="00B75D49">
        <w:trPr>
          <w:trHeight w:val="268"/>
        </w:trPr>
        <w:tc>
          <w:tcPr>
            <w:tcW w:w="4106" w:type="dxa"/>
            <w:gridSpan w:val="2"/>
            <w:vMerge w:val="restart"/>
            <w:tcBorders>
              <w:top w:val="single" w:sz="4" w:space="0" w:color="808080"/>
              <w:left w:val="single" w:sz="4" w:space="0" w:color="808080"/>
              <w:bottom w:val="single" w:sz="4" w:space="0" w:color="808080"/>
              <w:right w:val="single" w:sz="4" w:space="0" w:color="808080"/>
            </w:tcBorders>
            <w:vAlign w:val="bottom"/>
          </w:tcPr>
          <w:p w:rsidR="00E51DE5" w:rsidRPr="00312162" w:rsidRDefault="00E51DE5" w:rsidP="00B75D49">
            <w:pPr>
              <w:tabs>
                <w:tab w:val="center" w:pos="4536"/>
                <w:tab w:val="right" w:pos="9072"/>
              </w:tabs>
              <w:rPr>
                <w:rFonts w:ascii="Arial" w:hAnsi="Arial" w:cs="Arial"/>
                <w:noProof/>
                <w:sz w:val="4"/>
                <w:szCs w:val="4"/>
              </w:rPr>
            </w:pPr>
          </w:p>
          <w:p w:rsidR="00E51DE5" w:rsidRPr="00312162" w:rsidRDefault="00E51DE5" w:rsidP="00B75D49">
            <w:pPr>
              <w:tabs>
                <w:tab w:val="center" w:pos="4536"/>
                <w:tab w:val="right" w:pos="9072"/>
              </w:tabs>
              <w:rPr>
                <w:rFonts w:ascii="Arial" w:hAnsi="Arial" w:cs="Arial"/>
                <w:sz w:val="24"/>
              </w:rPr>
            </w:pPr>
            <w:r w:rsidRPr="00312162">
              <w:rPr>
                <w:rFonts w:ascii="Arial" w:hAnsi="Arial" w:cs="Arial"/>
                <w:noProof/>
                <w:szCs w:val="24"/>
              </w:rPr>
              <w:drawing>
                <wp:inline distT="0" distB="0" distL="0" distR="0" wp14:anchorId="713810F9" wp14:editId="0EF0046A">
                  <wp:extent cx="2080260" cy="65532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0260" cy="655320"/>
                          </a:xfrm>
                          <a:prstGeom prst="rect">
                            <a:avLst/>
                          </a:prstGeom>
                          <a:noFill/>
                          <a:ln>
                            <a:noFill/>
                          </a:ln>
                        </pic:spPr>
                      </pic:pic>
                    </a:graphicData>
                  </a:graphic>
                </wp:inline>
              </w:drawing>
            </w:r>
          </w:p>
          <w:p w:rsidR="00E51DE5" w:rsidRPr="00312162" w:rsidRDefault="00E51DE5" w:rsidP="00B75D49">
            <w:pPr>
              <w:tabs>
                <w:tab w:val="center" w:pos="4536"/>
                <w:tab w:val="right" w:pos="9072"/>
              </w:tabs>
              <w:rPr>
                <w:rFonts w:ascii="Arial" w:hAnsi="Arial" w:cs="Arial"/>
                <w:sz w:val="10"/>
                <w:szCs w:val="10"/>
              </w:rPr>
            </w:pPr>
          </w:p>
          <w:p w:rsidR="00E51DE5" w:rsidRPr="00312162" w:rsidRDefault="00E51DE5" w:rsidP="00B75D49">
            <w:pPr>
              <w:tabs>
                <w:tab w:val="center" w:pos="4536"/>
                <w:tab w:val="right" w:pos="9072"/>
              </w:tabs>
              <w:rPr>
                <w:rFonts w:ascii="Arial" w:hAnsi="Arial" w:cs="Arial"/>
                <w:sz w:val="24"/>
              </w:rPr>
            </w:pPr>
            <w:r w:rsidRPr="00312162">
              <w:rPr>
                <w:rFonts w:ascii="Arial" w:hAnsi="Arial" w:cs="Arial"/>
                <w:szCs w:val="24"/>
              </w:rPr>
              <w:t>Socialförvaltningens ledningssystem</w:t>
            </w:r>
          </w:p>
          <w:p w:rsidR="00E51DE5" w:rsidRPr="00312162" w:rsidRDefault="00E51DE5" w:rsidP="00B75D49">
            <w:pPr>
              <w:tabs>
                <w:tab w:val="center" w:pos="4536"/>
                <w:tab w:val="right" w:pos="9072"/>
              </w:tabs>
              <w:rPr>
                <w:rFonts w:ascii="Arial" w:hAnsi="Arial" w:cs="Arial"/>
                <w:sz w:val="10"/>
                <w:szCs w:val="10"/>
              </w:rPr>
            </w:pPr>
          </w:p>
        </w:tc>
        <w:tc>
          <w:tcPr>
            <w:tcW w:w="4956" w:type="dxa"/>
            <w:gridSpan w:val="2"/>
            <w:tcBorders>
              <w:top w:val="single" w:sz="4" w:space="0" w:color="808080"/>
              <w:left w:val="single" w:sz="4" w:space="0" w:color="808080"/>
              <w:bottom w:val="single" w:sz="4" w:space="0" w:color="F2F2F2"/>
              <w:right w:val="single" w:sz="4" w:space="0" w:color="808080"/>
            </w:tcBorders>
            <w:vAlign w:val="center"/>
            <w:hideMark/>
          </w:tcPr>
          <w:p w:rsidR="00E51DE5" w:rsidRPr="00312162" w:rsidRDefault="00E51DE5" w:rsidP="00B75D49">
            <w:pPr>
              <w:tabs>
                <w:tab w:val="center" w:pos="4536"/>
                <w:tab w:val="right" w:pos="9072"/>
              </w:tabs>
              <w:rPr>
                <w:rFonts w:ascii="Arial" w:hAnsi="Arial" w:cs="Arial"/>
              </w:rPr>
            </w:pPr>
            <w:r w:rsidRPr="00312162">
              <w:rPr>
                <w:rFonts w:ascii="Arial" w:hAnsi="Arial" w:cs="Arial"/>
              </w:rPr>
              <w:t>Dokumenttyp:</w:t>
            </w:r>
          </w:p>
        </w:tc>
      </w:tr>
      <w:tr w:rsidR="00E51DE5" w:rsidRPr="00312162" w:rsidTr="00B75D49">
        <w:trPr>
          <w:trHeight w:val="348"/>
        </w:trPr>
        <w:tc>
          <w:tcPr>
            <w:tcW w:w="4106" w:type="dxa"/>
            <w:gridSpan w:val="2"/>
            <w:vMerge/>
            <w:tcBorders>
              <w:top w:val="single" w:sz="4" w:space="0" w:color="808080"/>
              <w:left w:val="single" w:sz="4" w:space="0" w:color="808080"/>
              <w:bottom w:val="single" w:sz="4" w:space="0" w:color="808080"/>
              <w:right w:val="single" w:sz="4" w:space="0" w:color="808080"/>
            </w:tcBorders>
            <w:vAlign w:val="center"/>
            <w:hideMark/>
          </w:tcPr>
          <w:p w:rsidR="00E51DE5" w:rsidRPr="00312162" w:rsidRDefault="00E51DE5" w:rsidP="00B75D49">
            <w:pPr>
              <w:rPr>
                <w:rFonts w:ascii="Arial" w:hAnsi="Arial" w:cs="Arial"/>
                <w:sz w:val="10"/>
                <w:szCs w:val="10"/>
              </w:rPr>
            </w:pPr>
          </w:p>
        </w:tc>
        <w:tc>
          <w:tcPr>
            <w:tcW w:w="4956" w:type="dxa"/>
            <w:gridSpan w:val="2"/>
            <w:tcBorders>
              <w:top w:val="single" w:sz="4" w:space="0" w:color="F2F2F2"/>
              <w:left w:val="single" w:sz="4" w:space="0" w:color="808080"/>
              <w:bottom w:val="single" w:sz="4" w:space="0" w:color="808080"/>
              <w:right w:val="single" w:sz="4" w:space="0" w:color="808080"/>
            </w:tcBorders>
            <w:vAlign w:val="center"/>
          </w:tcPr>
          <w:p w:rsidR="00E51DE5" w:rsidRPr="00312162" w:rsidRDefault="00E51DE5" w:rsidP="00B75D49">
            <w:pPr>
              <w:tabs>
                <w:tab w:val="center" w:pos="4536"/>
                <w:tab w:val="right" w:pos="9072"/>
              </w:tabs>
              <w:rPr>
                <w:rFonts w:ascii="Arial" w:hAnsi="Arial" w:cs="Arial"/>
                <w:sz w:val="24"/>
              </w:rPr>
            </w:pPr>
            <w:r>
              <w:rPr>
                <w:rFonts w:ascii="Arial" w:hAnsi="Arial" w:cs="Arial"/>
                <w:sz w:val="24"/>
              </w:rPr>
              <w:t xml:space="preserve">Rutin </w:t>
            </w:r>
          </w:p>
        </w:tc>
      </w:tr>
      <w:tr w:rsidR="00E51DE5" w:rsidRPr="00312162" w:rsidTr="00B75D49">
        <w:trPr>
          <w:trHeight w:val="264"/>
        </w:trPr>
        <w:tc>
          <w:tcPr>
            <w:tcW w:w="4106" w:type="dxa"/>
            <w:gridSpan w:val="2"/>
            <w:vMerge/>
            <w:tcBorders>
              <w:top w:val="single" w:sz="4" w:space="0" w:color="808080"/>
              <w:left w:val="single" w:sz="4" w:space="0" w:color="808080"/>
              <w:bottom w:val="single" w:sz="4" w:space="0" w:color="808080"/>
              <w:right w:val="single" w:sz="4" w:space="0" w:color="808080"/>
            </w:tcBorders>
            <w:vAlign w:val="center"/>
            <w:hideMark/>
          </w:tcPr>
          <w:p w:rsidR="00E51DE5" w:rsidRPr="00312162" w:rsidRDefault="00E51DE5" w:rsidP="00B75D49">
            <w:pPr>
              <w:rPr>
                <w:rFonts w:ascii="Arial" w:hAnsi="Arial" w:cs="Arial"/>
                <w:sz w:val="10"/>
                <w:szCs w:val="10"/>
              </w:rPr>
            </w:pPr>
          </w:p>
        </w:tc>
        <w:tc>
          <w:tcPr>
            <w:tcW w:w="4956" w:type="dxa"/>
            <w:gridSpan w:val="2"/>
            <w:tcBorders>
              <w:top w:val="single" w:sz="4" w:space="0" w:color="808080"/>
              <w:left w:val="single" w:sz="4" w:space="0" w:color="808080"/>
              <w:bottom w:val="single" w:sz="4" w:space="0" w:color="F2F2F2"/>
              <w:right w:val="single" w:sz="4" w:space="0" w:color="808080"/>
            </w:tcBorders>
            <w:vAlign w:val="center"/>
            <w:hideMark/>
          </w:tcPr>
          <w:p w:rsidR="00E51DE5" w:rsidRPr="00312162" w:rsidRDefault="00E51DE5" w:rsidP="00B75D49">
            <w:pPr>
              <w:tabs>
                <w:tab w:val="center" w:pos="4536"/>
                <w:tab w:val="right" w:pos="9072"/>
              </w:tabs>
              <w:rPr>
                <w:rFonts w:ascii="Arial" w:hAnsi="Arial" w:cs="Arial"/>
              </w:rPr>
            </w:pPr>
            <w:r w:rsidRPr="00312162">
              <w:rPr>
                <w:rFonts w:ascii="Arial" w:hAnsi="Arial" w:cs="Arial"/>
              </w:rPr>
              <w:t>Titel:</w:t>
            </w:r>
          </w:p>
        </w:tc>
      </w:tr>
      <w:tr w:rsidR="00E51DE5" w:rsidRPr="00312162" w:rsidTr="00B75D49">
        <w:trPr>
          <w:trHeight w:val="348"/>
        </w:trPr>
        <w:tc>
          <w:tcPr>
            <w:tcW w:w="4106" w:type="dxa"/>
            <w:gridSpan w:val="2"/>
            <w:vMerge/>
            <w:tcBorders>
              <w:top w:val="single" w:sz="4" w:space="0" w:color="808080"/>
              <w:left w:val="single" w:sz="4" w:space="0" w:color="808080"/>
              <w:bottom w:val="single" w:sz="4" w:space="0" w:color="808080"/>
              <w:right w:val="single" w:sz="4" w:space="0" w:color="808080"/>
            </w:tcBorders>
            <w:vAlign w:val="center"/>
            <w:hideMark/>
          </w:tcPr>
          <w:p w:rsidR="00E51DE5" w:rsidRPr="00312162" w:rsidRDefault="00E51DE5" w:rsidP="00B75D49">
            <w:pPr>
              <w:rPr>
                <w:rFonts w:ascii="Arial" w:hAnsi="Arial" w:cs="Arial"/>
                <w:sz w:val="10"/>
                <w:szCs w:val="10"/>
              </w:rPr>
            </w:pPr>
          </w:p>
        </w:tc>
        <w:tc>
          <w:tcPr>
            <w:tcW w:w="4956" w:type="dxa"/>
            <w:gridSpan w:val="2"/>
            <w:tcBorders>
              <w:top w:val="single" w:sz="4" w:space="0" w:color="F2F2F2"/>
              <w:left w:val="single" w:sz="4" w:space="0" w:color="808080"/>
              <w:bottom w:val="single" w:sz="4" w:space="0" w:color="808080"/>
              <w:right w:val="single" w:sz="4" w:space="0" w:color="808080"/>
            </w:tcBorders>
            <w:vAlign w:val="center"/>
          </w:tcPr>
          <w:p w:rsidR="00E51DE5" w:rsidRPr="00E51DE5" w:rsidRDefault="008A64BF" w:rsidP="008A64BF">
            <w:pPr>
              <w:rPr>
                <w:rFonts w:ascii="Arial" w:hAnsi="Arial" w:cs="Arial"/>
                <w:b/>
                <w:sz w:val="32"/>
                <w:szCs w:val="32"/>
              </w:rPr>
            </w:pPr>
            <w:r>
              <w:rPr>
                <w:b/>
                <w:sz w:val="32"/>
                <w:szCs w:val="32"/>
              </w:rPr>
              <w:t>L</w:t>
            </w:r>
            <w:r w:rsidR="00E51DE5">
              <w:rPr>
                <w:b/>
                <w:sz w:val="32"/>
                <w:szCs w:val="32"/>
              </w:rPr>
              <w:t xml:space="preserve">äkemedelshantering </w:t>
            </w:r>
            <w:proofErr w:type="gramStart"/>
            <w:r>
              <w:rPr>
                <w:b/>
                <w:sz w:val="32"/>
                <w:szCs w:val="32"/>
              </w:rPr>
              <w:t xml:space="preserve">och </w:t>
            </w:r>
            <w:r w:rsidR="00E51DE5">
              <w:rPr>
                <w:b/>
                <w:sz w:val="32"/>
                <w:szCs w:val="32"/>
              </w:rPr>
              <w:t xml:space="preserve"> </w:t>
            </w:r>
            <w:r w:rsidR="00E51DE5" w:rsidRPr="00E51DE5">
              <w:rPr>
                <w:b/>
                <w:sz w:val="32"/>
                <w:szCs w:val="32"/>
              </w:rPr>
              <w:t>Cytostatikabehandling</w:t>
            </w:r>
            <w:proofErr w:type="gramEnd"/>
          </w:p>
        </w:tc>
      </w:tr>
      <w:tr w:rsidR="00E51DE5" w:rsidRPr="00312162" w:rsidTr="00B75D49">
        <w:tc>
          <w:tcPr>
            <w:tcW w:w="2547" w:type="dxa"/>
            <w:tcBorders>
              <w:top w:val="single" w:sz="4" w:space="0" w:color="808080"/>
              <w:left w:val="single" w:sz="4" w:space="0" w:color="808080"/>
              <w:bottom w:val="single" w:sz="4" w:space="0" w:color="F2F2F2"/>
              <w:right w:val="single" w:sz="4" w:space="0" w:color="808080"/>
            </w:tcBorders>
            <w:vAlign w:val="center"/>
            <w:hideMark/>
          </w:tcPr>
          <w:p w:rsidR="00E51DE5" w:rsidRPr="00312162" w:rsidRDefault="00E51DE5" w:rsidP="00B75D49">
            <w:pPr>
              <w:tabs>
                <w:tab w:val="center" w:pos="4536"/>
                <w:tab w:val="right" w:pos="9072"/>
              </w:tabs>
              <w:rPr>
                <w:rFonts w:ascii="Arial" w:hAnsi="Arial" w:cs="Arial"/>
              </w:rPr>
            </w:pPr>
            <w:r w:rsidRPr="00312162">
              <w:rPr>
                <w:rFonts w:ascii="Arial" w:hAnsi="Arial" w:cs="Arial"/>
              </w:rPr>
              <w:t>Granskad av:</w:t>
            </w:r>
          </w:p>
        </w:tc>
        <w:tc>
          <w:tcPr>
            <w:tcW w:w="1559" w:type="dxa"/>
            <w:tcBorders>
              <w:top w:val="single" w:sz="4" w:space="0" w:color="808080"/>
              <w:left w:val="single" w:sz="4" w:space="0" w:color="808080"/>
              <w:bottom w:val="single" w:sz="4" w:space="0" w:color="F2F2F2"/>
              <w:right w:val="single" w:sz="4" w:space="0" w:color="808080"/>
            </w:tcBorders>
            <w:vAlign w:val="center"/>
            <w:hideMark/>
          </w:tcPr>
          <w:p w:rsidR="00E51DE5" w:rsidRPr="00312162" w:rsidRDefault="00E51DE5" w:rsidP="00B75D49">
            <w:pPr>
              <w:tabs>
                <w:tab w:val="center" w:pos="4536"/>
                <w:tab w:val="right" w:pos="9072"/>
              </w:tabs>
              <w:rPr>
                <w:rFonts w:ascii="Arial" w:hAnsi="Arial" w:cs="Arial"/>
              </w:rPr>
            </w:pPr>
            <w:r w:rsidRPr="00312162">
              <w:rPr>
                <w:rFonts w:ascii="Arial" w:hAnsi="Arial" w:cs="Arial"/>
              </w:rPr>
              <w:t>Fastställd av:</w:t>
            </w:r>
          </w:p>
        </w:tc>
        <w:tc>
          <w:tcPr>
            <w:tcW w:w="2701" w:type="dxa"/>
            <w:tcBorders>
              <w:top w:val="single" w:sz="4" w:space="0" w:color="808080"/>
              <w:left w:val="single" w:sz="4" w:space="0" w:color="808080"/>
              <w:bottom w:val="single" w:sz="4" w:space="0" w:color="F2F2F2"/>
              <w:right w:val="single" w:sz="4" w:space="0" w:color="808080"/>
            </w:tcBorders>
            <w:vAlign w:val="center"/>
            <w:hideMark/>
          </w:tcPr>
          <w:p w:rsidR="00E51DE5" w:rsidRPr="00312162" w:rsidRDefault="00E51DE5" w:rsidP="00B75D49">
            <w:pPr>
              <w:tabs>
                <w:tab w:val="center" w:pos="4536"/>
                <w:tab w:val="right" w:pos="9072"/>
              </w:tabs>
              <w:rPr>
                <w:rFonts w:ascii="Arial" w:hAnsi="Arial" w:cs="Arial"/>
              </w:rPr>
            </w:pPr>
            <w:proofErr w:type="gramStart"/>
            <w:r w:rsidRPr="00312162">
              <w:rPr>
                <w:rFonts w:ascii="Arial" w:hAnsi="Arial" w:cs="Arial"/>
              </w:rPr>
              <w:t>Fastställd</w:t>
            </w:r>
            <w:proofErr w:type="gramEnd"/>
            <w:r w:rsidRPr="00312162">
              <w:rPr>
                <w:rFonts w:ascii="Arial" w:hAnsi="Arial" w:cs="Arial"/>
              </w:rPr>
              <w:t xml:space="preserve"> datum:</w:t>
            </w:r>
          </w:p>
        </w:tc>
        <w:tc>
          <w:tcPr>
            <w:tcW w:w="2255" w:type="dxa"/>
            <w:tcBorders>
              <w:top w:val="single" w:sz="4" w:space="0" w:color="808080"/>
              <w:left w:val="single" w:sz="4" w:space="0" w:color="808080"/>
              <w:bottom w:val="single" w:sz="4" w:space="0" w:color="F2F2F2"/>
              <w:right w:val="single" w:sz="4" w:space="0" w:color="808080"/>
            </w:tcBorders>
            <w:vAlign w:val="center"/>
            <w:hideMark/>
          </w:tcPr>
          <w:p w:rsidR="00E51DE5" w:rsidRPr="00312162" w:rsidRDefault="00E51DE5" w:rsidP="00B75D49">
            <w:pPr>
              <w:tabs>
                <w:tab w:val="center" w:pos="4536"/>
                <w:tab w:val="right" w:pos="9072"/>
              </w:tabs>
              <w:rPr>
                <w:rFonts w:ascii="Arial" w:hAnsi="Arial" w:cs="Arial"/>
              </w:rPr>
            </w:pPr>
            <w:proofErr w:type="gramStart"/>
            <w:r w:rsidRPr="00312162">
              <w:rPr>
                <w:rFonts w:ascii="Arial" w:hAnsi="Arial" w:cs="Arial"/>
              </w:rPr>
              <w:t>Reviderad</w:t>
            </w:r>
            <w:proofErr w:type="gramEnd"/>
            <w:r w:rsidRPr="00312162">
              <w:rPr>
                <w:rFonts w:ascii="Arial" w:hAnsi="Arial" w:cs="Arial"/>
              </w:rPr>
              <w:t xml:space="preserve"> datum:</w:t>
            </w:r>
          </w:p>
        </w:tc>
      </w:tr>
      <w:tr w:rsidR="00E51DE5" w:rsidRPr="00312162" w:rsidTr="00B75D49">
        <w:tc>
          <w:tcPr>
            <w:tcW w:w="2547" w:type="dxa"/>
            <w:tcBorders>
              <w:top w:val="single" w:sz="4" w:space="0" w:color="F2F2F2"/>
              <w:left w:val="single" w:sz="4" w:space="0" w:color="808080"/>
              <w:bottom w:val="single" w:sz="4" w:space="0" w:color="808080"/>
              <w:right w:val="single" w:sz="4" w:space="0" w:color="808080"/>
            </w:tcBorders>
            <w:vAlign w:val="center"/>
          </w:tcPr>
          <w:p w:rsidR="00E51DE5" w:rsidRPr="003829E2" w:rsidRDefault="00E51DE5" w:rsidP="00B75D49">
            <w:pPr>
              <w:tabs>
                <w:tab w:val="center" w:pos="4536"/>
                <w:tab w:val="right" w:pos="9072"/>
              </w:tabs>
              <w:rPr>
                <w:rFonts w:ascii="Arial" w:hAnsi="Arial" w:cs="Arial"/>
              </w:rPr>
            </w:pPr>
            <w:r w:rsidRPr="003829E2">
              <w:rPr>
                <w:rFonts w:ascii="Arial" w:hAnsi="Arial" w:cs="Arial"/>
              </w:rPr>
              <w:t xml:space="preserve">MAS </w:t>
            </w:r>
          </w:p>
        </w:tc>
        <w:tc>
          <w:tcPr>
            <w:tcW w:w="1559" w:type="dxa"/>
            <w:tcBorders>
              <w:top w:val="single" w:sz="4" w:space="0" w:color="F2F2F2"/>
              <w:left w:val="single" w:sz="4" w:space="0" w:color="808080"/>
              <w:bottom w:val="single" w:sz="4" w:space="0" w:color="808080"/>
              <w:right w:val="single" w:sz="4" w:space="0" w:color="808080"/>
            </w:tcBorders>
            <w:vAlign w:val="center"/>
          </w:tcPr>
          <w:p w:rsidR="00E51DE5" w:rsidRPr="003829E2" w:rsidRDefault="00E51DE5" w:rsidP="00B75D49">
            <w:pPr>
              <w:tabs>
                <w:tab w:val="center" w:pos="4536"/>
                <w:tab w:val="right" w:pos="9072"/>
              </w:tabs>
              <w:rPr>
                <w:rFonts w:ascii="Arial" w:hAnsi="Arial" w:cs="Arial"/>
              </w:rPr>
            </w:pPr>
            <w:r w:rsidRPr="003829E2">
              <w:rPr>
                <w:rFonts w:ascii="Arial" w:hAnsi="Arial" w:cs="Arial"/>
              </w:rPr>
              <w:t xml:space="preserve">Verksamhetschef </w:t>
            </w:r>
          </w:p>
        </w:tc>
        <w:tc>
          <w:tcPr>
            <w:tcW w:w="2701" w:type="dxa"/>
            <w:tcBorders>
              <w:top w:val="single" w:sz="4" w:space="0" w:color="F2F2F2"/>
              <w:left w:val="single" w:sz="4" w:space="0" w:color="808080"/>
              <w:bottom w:val="single" w:sz="4" w:space="0" w:color="808080"/>
              <w:right w:val="single" w:sz="4" w:space="0" w:color="808080"/>
            </w:tcBorders>
            <w:vAlign w:val="center"/>
          </w:tcPr>
          <w:p w:rsidR="00E51DE5" w:rsidRPr="003829E2" w:rsidRDefault="00E51DE5" w:rsidP="00B75D49">
            <w:pPr>
              <w:tabs>
                <w:tab w:val="center" w:pos="4536"/>
                <w:tab w:val="right" w:pos="9072"/>
              </w:tabs>
              <w:rPr>
                <w:rFonts w:ascii="Arial" w:hAnsi="Arial" w:cs="Arial"/>
              </w:rPr>
            </w:pPr>
          </w:p>
        </w:tc>
        <w:tc>
          <w:tcPr>
            <w:tcW w:w="2255" w:type="dxa"/>
            <w:tcBorders>
              <w:top w:val="single" w:sz="4" w:space="0" w:color="F2F2F2"/>
              <w:left w:val="single" w:sz="4" w:space="0" w:color="808080"/>
              <w:bottom w:val="single" w:sz="4" w:space="0" w:color="808080"/>
              <w:right w:val="single" w:sz="4" w:space="0" w:color="808080"/>
            </w:tcBorders>
            <w:vAlign w:val="center"/>
          </w:tcPr>
          <w:p w:rsidR="00E51DE5" w:rsidRPr="003829E2" w:rsidRDefault="00E51DE5" w:rsidP="00B75D49">
            <w:pPr>
              <w:tabs>
                <w:tab w:val="center" w:pos="4536"/>
                <w:tab w:val="right" w:pos="9072"/>
              </w:tabs>
              <w:rPr>
                <w:rFonts w:ascii="Arial" w:hAnsi="Arial" w:cs="Arial"/>
              </w:rPr>
            </w:pPr>
            <w:proofErr w:type="gramStart"/>
            <w:r>
              <w:rPr>
                <w:rFonts w:ascii="Arial" w:hAnsi="Arial" w:cs="Arial"/>
              </w:rPr>
              <w:t>26-01-19</w:t>
            </w:r>
            <w:proofErr w:type="gramEnd"/>
          </w:p>
        </w:tc>
      </w:tr>
    </w:tbl>
    <w:p w:rsidR="00394097" w:rsidRDefault="008A64BF"/>
    <w:p w:rsidR="00E51DE5" w:rsidRDefault="008A64BF" w:rsidP="00E51DE5">
      <w:pPr>
        <w:pStyle w:val="Rubrik1"/>
      </w:pPr>
      <w:bookmarkStart w:id="0" w:name="_Toc218946132"/>
      <w:bookmarkStart w:id="1" w:name="_GoBack"/>
      <w:r>
        <w:t xml:space="preserve">Bilaga </w:t>
      </w:r>
      <w:proofErr w:type="gramStart"/>
      <w:r>
        <w:t>8</w:t>
      </w:r>
      <w:r w:rsidR="00E51DE5">
        <w:t xml:space="preserve">  -</w:t>
      </w:r>
      <w:proofErr w:type="gramEnd"/>
      <w:r w:rsidR="00E51DE5">
        <w:t xml:space="preserve"> </w:t>
      </w:r>
      <w:r>
        <w:t xml:space="preserve">Läkemedelshantering och </w:t>
      </w:r>
      <w:r w:rsidR="00E51DE5">
        <w:t>Cytostatikabehandling</w:t>
      </w:r>
      <w:bookmarkEnd w:id="0"/>
      <w:r w:rsidR="00E51DE5">
        <w:t xml:space="preserve"> </w:t>
      </w:r>
    </w:p>
    <w:bookmarkEnd w:id="1"/>
    <w:p w:rsidR="00E51DE5" w:rsidRDefault="00E51DE5" w:rsidP="00E51DE5">
      <w:r w:rsidRPr="008B058F">
        <w:rPr>
          <w:sz w:val="24"/>
          <w:szCs w:val="24"/>
        </w:rPr>
        <w:t xml:space="preserve">Med anledning att det finns arbetsmiljörisker i samband med hantering av cytostatika har Arbetsmiljöverket utfärdat föreskriften </w:t>
      </w:r>
      <w:hyperlink r:id="rId6" w:history="1">
        <w:r w:rsidRPr="00FC3C11">
          <w:rPr>
            <w:rStyle w:val="Hyperlnk"/>
            <w:rFonts w:eastAsiaTheme="majorEastAsia"/>
            <w:sz w:val="24"/>
            <w:szCs w:val="24"/>
          </w:rPr>
          <w:t>Risker i arbetsmiljön (AFS 2023:10), föreskrifter - Arbetsmiljöverket</w:t>
        </w:r>
      </w:hyperlink>
      <w:r w:rsidRPr="00FC3C11">
        <w:rPr>
          <w:sz w:val="24"/>
          <w:szCs w:val="24"/>
        </w:rPr>
        <w:t>.</w:t>
      </w:r>
      <w:r>
        <w:t xml:space="preserve"> </w:t>
      </w:r>
    </w:p>
    <w:p w:rsidR="00E51DE5" w:rsidRDefault="00E51DE5" w:rsidP="00E51DE5">
      <w:pPr>
        <w:rPr>
          <w:sz w:val="24"/>
          <w:szCs w:val="24"/>
        </w:rPr>
      </w:pPr>
      <w:r w:rsidRPr="008B058F">
        <w:rPr>
          <w:sz w:val="24"/>
          <w:szCs w:val="24"/>
        </w:rPr>
        <w:t xml:space="preserve">Föreskriften ställer krav på arbetsmiljöåtgärder för att skydda personal från att drabbas av hälsorisker i samband med hantering av läkemedel som tillhör ovanstående. </w:t>
      </w:r>
    </w:p>
    <w:p w:rsidR="00E51DE5" w:rsidRDefault="00E51DE5" w:rsidP="00E51DE5">
      <w:pPr>
        <w:rPr>
          <w:sz w:val="24"/>
          <w:szCs w:val="24"/>
        </w:rPr>
      </w:pPr>
    </w:p>
    <w:p w:rsidR="00E51DE5" w:rsidRDefault="00E51DE5" w:rsidP="00E51DE5">
      <w:pPr>
        <w:rPr>
          <w:sz w:val="24"/>
          <w:szCs w:val="24"/>
        </w:rPr>
      </w:pPr>
      <w:r>
        <w:rPr>
          <w:sz w:val="24"/>
          <w:szCs w:val="24"/>
        </w:rPr>
        <w:t xml:space="preserve">Inom kommunala primärvård utförs generellt sett inte parenteral behandling med Cytostatika. Om det ändå blir aktuellt inom hemsjukvården i något specifikt fall ska en riskbedömning och noggrann planering göras innan genomförandet. Kontakta MAS. </w:t>
      </w:r>
    </w:p>
    <w:p w:rsidR="00E51DE5" w:rsidRDefault="00E51DE5" w:rsidP="00E51DE5">
      <w:pPr>
        <w:rPr>
          <w:sz w:val="24"/>
          <w:szCs w:val="24"/>
        </w:rPr>
      </w:pPr>
    </w:p>
    <w:p w:rsidR="00E51DE5" w:rsidRDefault="00E51DE5" w:rsidP="00E51DE5">
      <w:pPr>
        <w:rPr>
          <w:sz w:val="24"/>
          <w:szCs w:val="24"/>
        </w:rPr>
      </w:pPr>
      <w:r>
        <w:rPr>
          <w:sz w:val="24"/>
          <w:szCs w:val="24"/>
        </w:rPr>
        <w:t xml:space="preserve">Särskild noggrannhet ska iakttas vid hantering av Cytostatika. Då patienten är ordinerad cytostatika per os ska </w:t>
      </w:r>
      <w:proofErr w:type="gramStart"/>
      <w:r>
        <w:rPr>
          <w:sz w:val="24"/>
          <w:szCs w:val="24"/>
        </w:rPr>
        <w:t>tex</w:t>
      </w:r>
      <w:proofErr w:type="gramEnd"/>
      <w:r>
        <w:rPr>
          <w:sz w:val="24"/>
          <w:szCs w:val="24"/>
        </w:rPr>
        <w:t xml:space="preserve"> iordningställande alltid skötas av sjuksköterska, hantering ska ske med </w:t>
      </w:r>
      <w:proofErr w:type="spellStart"/>
      <w:r>
        <w:rPr>
          <w:sz w:val="24"/>
          <w:szCs w:val="24"/>
        </w:rPr>
        <w:t>nitrilhandskar</w:t>
      </w:r>
      <w:proofErr w:type="spellEnd"/>
      <w:r>
        <w:rPr>
          <w:sz w:val="24"/>
          <w:szCs w:val="24"/>
        </w:rPr>
        <w:t xml:space="preserve"> på, omhändertagande av utsöndringar ska ske enligt särskild rutin osv. </w:t>
      </w:r>
    </w:p>
    <w:p w:rsidR="00E51DE5" w:rsidRDefault="00E51DE5" w:rsidP="00E51DE5">
      <w:pPr>
        <w:rPr>
          <w:sz w:val="24"/>
          <w:szCs w:val="24"/>
        </w:rPr>
      </w:pPr>
    </w:p>
    <w:p w:rsidR="00E51DE5" w:rsidRDefault="00E51DE5" w:rsidP="00E51DE5">
      <w:pPr>
        <w:rPr>
          <w:sz w:val="24"/>
          <w:szCs w:val="24"/>
        </w:rPr>
      </w:pPr>
      <w:r>
        <w:rPr>
          <w:sz w:val="24"/>
          <w:szCs w:val="24"/>
        </w:rPr>
        <w:t xml:space="preserve">Läs mer: </w:t>
      </w:r>
    </w:p>
    <w:p w:rsidR="00E51DE5" w:rsidRDefault="00E51DE5" w:rsidP="00E51DE5">
      <w:pPr>
        <w:pStyle w:val="BrdtextTierp"/>
      </w:pPr>
      <w:hyperlink r:id="rId7" w:history="1">
        <w:r>
          <w:rPr>
            <w:rStyle w:val="Hyperlnk"/>
          </w:rPr>
          <w:t>Cytostatika och cytotoxiska läkemedel - Arbetsmiljöverket</w:t>
        </w:r>
      </w:hyperlink>
    </w:p>
    <w:p w:rsidR="00E51DE5" w:rsidRDefault="00E51DE5" w:rsidP="00E51DE5">
      <w:pPr>
        <w:pStyle w:val="BrdtextTierp"/>
        <w:rPr>
          <w:rFonts w:ascii="Arial" w:hAnsi="Arial" w:cs="Arial"/>
        </w:rPr>
      </w:pPr>
      <w:hyperlink r:id="rId8" w:history="1">
        <w:r w:rsidRPr="004C4F69">
          <w:rPr>
            <w:rStyle w:val="Hyperlnk"/>
          </w:rPr>
          <w:t>Cytostatika, cytotoxiska läkemedel - Översikt</w:t>
        </w:r>
      </w:hyperlink>
    </w:p>
    <w:p w:rsidR="00E51DE5" w:rsidRDefault="00E51DE5" w:rsidP="00E51DE5">
      <w:pPr>
        <w:pStyle w:val="BrdtextTierp"/>
      </w:pPr>
      <w:hyperlink r:id="rId9" w:history="1">
        <w:r>
          <w:rPr>
            <w:rStyle w:val="Hyperlnk"/>
          </w:rPr>
          <w:t>Cytostatika och cytotoxiska läkemedelsavfall - Vårdhandboken</w:t>
        </w:r>
      </w:hyperlink>
    </w:p>
    <w:p w:rsidR="00E51DE5" w:rsidRDefault="00E51DE5" w:rsidP="00E51DE5">
      <w:pPr>
        <w:pStyle w:val="BrdtextTierp"/>
      </w:pPr>
    </w:p>
    <w:p w:rsidR="00E51DE5" w:rsidRDefault="00E51DE5" w:rsidP="00E51DE5">
      <w:pPr>
        <w:rPr>
          <w:sz w:val="24"/>
          <w:szCs w:val="24"/>
        </w:rPr>
      </w:pPr>
    </w:p>
    <w:p w:rsidR="00E51DE5" w:rsidRPr="00701403" w:rsidRDefault="00E51DE5" w:rsidP="00E51DE5">
      <w:pPr>
        <w:pStyle w:val="BrdtextTierp"/>
        <w:rPr>
          <w:rStyle w:val="Stark"/>
        </w:rPr>
      </w:pPr>
      <w:r w:rsidRPr="00701403">
        <w:rPr>
          <w:rStyle w:val="Stark"/>
        </w:rPr>
        <w:t xml:space="preserve">Gravida och ammande </w:t>
      </w:r>
    </w:p>
    <w:p w:rsidR="00E51DE5" w:rsidRDefault="00E51DE5" w:rsidP="00E51DE5">
      <w:pPr>
        <w:rPr>
          <w:sz w:val="24"/>
          <w:szCs w:val="24"/>
        </w:rPr>
      </w:pPr>
      <w:r w:rsidRPr="008B058F">
        <w:rPr>
          <w:sz w:val="24"/>
          <w:szCs w:val="24"/>
        </w:rPr>
        <w:t>För gravida och ammande arbetstagare finns arbetsmiljöverkets riskbedömning i föreskriften för gravida AFS 2007:5. Personal som är gravid elle</w:t>
      </w:r>
      <w:r>
        <w:rPr>
          <w:sz w:val="24"/>
          <w:szCs w:val="24"/>
        </w:rPr>
        <w:t>r ammande ska meddela detta till</w:t>
      </w:r>
      <w:r w:rsidRPr="008B058F">
        <w:t xml:space="preserve"> </w:t>
      </w:r>
      <w:r w:rsidRPr="008B058F">
        <w:rPr>
          <w:sz w:val="24"/>
          <w:szCs w:val="24"/>
        </w:rPr>
        <w:t>arbetsledningen. Rekommendationen är dock att gravida inte ska komma i kontakt med cytostatika på grund av dess potentiella risker.</w:t>
      </w:r>
    </w:p>
    <w:p w:rsidR="00E51DE5" w:rsidRDefault="00E51DE5" w:rsidP="00E51DE5">
      <w:pPr>
        <w:rPr>
          <w:sz w:val="24"/>
          <w:szCs w:val="24"/>
        </w:rPr>
      </w:pPr>
    </w:p>
    <w:p w:rsidR="00E51DE5" w:rsidRPr="00701403" w:rsidRDefault="00E51DE5" w:rsidP="00E51DE5">
      <w:pPr>
        <w:pStyle w:val="Ingetavstnd"/>
        <w:rPr>
          <w:rStyle w:val="Stark"/>
        </w:rPr>
      </w:pPr>
      <w:r w:rsidRPr="00701403">
        <w:rPr>
          <w:rStyle w:val="Stark"/>
        </w:rPr>
        <w:t xml:space="preserve">Riskbedömning </w:t>
      </w:r>
    </w:p>
    <w:p w:rsidR="00E51DE5" w:rsidRDefault="00E51DE5" w:rsidP="00E51DE5">
      <w:pPr>
        <w:rPr>
          <w:sz w:val="24"/>
          <w:szCs w:val="24"/>
        </w:rPr>
      </w:pPr>
      <w:r w:rsidRPr="008B058F">
        <w:rPr>
          <w:sz w:val="24"/>
          <w:szCs w:val="24"/>
        </w:rPr>
        <w:t xml:space="preserve">För att en enhet ska få hantera och/ eller behandla patienter med cytostatika ska det först utföras en riskbedömning som ska dokumenteras och förnyas om arbetsförhållandena ändras. </w:t>
      </w:r>
    </w:p>
    <w:p w:rsidR="00E51DE5" w:rsidRDefault="00E51DE5" w:rsidP="00E51DE5">
      <w:pPr>
        <w:rPr>
          <w:sz w:val="24"/>
          <w:szCs w:val="24"/>
        </w:rPr>
      </w:pPr>
    </w:p>
    <w:p w:rsidR="00E51DE5" w:rsidRPr="00701403" w:rsidRDefault="00E51DE5" w:rsidP="00E51DE5">
      <w:pPr>
        <w:pStyle w:val="BrdtextTierp"/>
        <w:rPr>
          <w:rStyle w:val="Stark"/>
        </w:rPr>
      </w:pPr>
      <w:r w:rsidRPr="00701403">
        <w:rPr>
          <w:rStyle w:val="Stark"/>
        </w:rPr>
        <w:t xml:space="preserve">Behörighet och utbildning </w:t>
      </w:r>
    </w:p>
    <w:p w:rsidR="00E51DE5" w:rsidRDefault="00E51DE5" w:rsidP="00E51DE5">
      <w:pPr>
        <w:rPr>
          <w:sz w:val="24"/>
          <w:szCs w:val="24"/>
        </w:rPr>
      </w:pPr>
      <w:r w:rsidRPr="008B058F">
        <w:rPr>
          <w:sz w:val="24"/>
          <w:szCs w:val="24"/>
        </w:rPr>
        <w:t>• Endast behörig och utbildad personal får hantera cytostatika.</w:t>
      </w:r>
    </w:p>
    <w:p w:rsidR="00E51DE5" w:rsidRDefault="00E51DE5" w:rsidP="00E51DE5">
      <w:pPr>
        <w:rPr>
          <w:sz w:val="24"/>
          <w:szCs w:val="24"/>
        </w:rPr>
      </w:pPr>
      <w:r w:rsidRPr="008B058F">
        <w:rPr>
          <w:sz w:val="24"/>
          <w:szCs w:val="24"/>
        </w:rPr>
        <w:t xml:space="preserve">• Enhetschef ska säkerställa att rätt kompentens finns och annars se till att berörd personal erhåller lämplig utbildning. </w:t>
      </w:r>
    </w:p>
    <w:p w:rsidR="00E51DE5" w:rsidRDefault="00E51DE5" w:rsidP="00E51DE5">
      <w:pPr>
        <w:rPr>
          <w:sz w:val="24"/>
          <w:szCs w:val="24"/>
        </w:rPr>
      </w:pPr>
    </w:p>
    <w:p w:rsidR="00E51DE5" w:rsidRPr="00701403" w:rsidRDefault="00E51DE5" w:rsidP="00E51DE5">
      <w:pPr>
        <w:pStyle w:val="BrdtextTierp"/>
        <w:rPr>
          <w:rStyle w:val="Stark"/>
        </w:rPr>
      </w:pPr>
      <w:r w:rsidRPr="00701403">
        <w:rPr>
          <w:rStyle w:val="Stark"/>
        </w:rPr>
        <w:t xml:space="preserve">Personlig skyddsutrustning </w:t>
      </w:r>
    </w:p>
    <w:p w:rsidR="00E51DE5" w:rsidRDefault="00E51DE5" w:rsidP="00E51DE5">
      <w:pPr>
        <w:rPr>
          <w:sz w:val="24"/>
          <w:szCs w:val="24"/>
        </w:rPr>
      </w:pPr>
      <w:r w:rsidRPr="008B058F">
        <w:rPr>
          <w:sz w:val="24"/>
          <w:szCs w:val="24"/>
        </w:rPr>
        <w:t xml:space="preserve">Använd alltid personlig skyddsutrustning vid hantering av cytostatika, inklusive: </w:t>
      </w:r>
    </w:p>
    <w:p w:rsidR="00E51DE5" w:rsidRDefault="00E51DE5" w:rsidP="00E51DE5">
      <w:pPr>
        <w:rPr>
          <w:sz w:val="24"/>
          <w:szCs w:val="24"/>
        </w:rPr>
      </w:pPr>
      <w:r w:rsidRPr="008B058F">
        <w:rPr>
          <w:sz w:val="24"/>
          <w:szCs w:val="24"/>
        </w:rPr>
        <w:t xml:space="preserve">• Använd handskar av </w:t>
      </w:r>
      <w:proofErr w:type="spellStart"/>
      <w:r w:rsidRPr="008B058F">
        <w:rPr>
          <w:sz w:val="24"/>
          <w:szCs w:val="24"/>
        </w:rPr>
        <w:t>nitrilmaterial</w:t>
      </w:r>
      <w:proofErr w:type="spellEnd"/>
      <w:r w:rsidRPr="008B058F">
        <w:rPr>
          <w:sz w:val="24"/>
          <w:szCs w:val="24"/>
        </w:rPr>
        <w:t xml:space="preserve"> för att minimera risk för hudkontakt.</w:t>
      </w:r>
    </w:p>
    <w:p w:rsidR="00E51DE5" w:rsidRDefault="00E51DE5" w:rsidP="00E51DE5">
      <w:pPr>
        <w:rPr>
          <w:sz w:val="24"/>
          <w:szCs w:val="24"/>
        </w:rPr>
      </w:pPr>
      <w:r w:rsidRPr="008B058F">
        <w:rPr>
          <w:sz w:val="24"/>
          <w:szCs w:val="24"/>
        </w:rPr>
        <w:t xml:space="preserve">• Vid risk för skvätt och stänk mot ansiktet, använd skyddsglasögon eller visir. </w:t>
      </w:r>
    </w:p>
    <w:p w:rsidR="00E51DE5" w:rsidRDefault="00E51DE5" w:rsidP="00E51DE5">
      <w:pPr>
        <w:rPr>
          <w:sz w:val="24"/>
          <w:szCs w:val="24"/>
        </w:rPr>
      </w:pPr>
      <w:r w:rsidRPr="008B058F">
        <w:rPr>
          <w:sz w:val="24"/>
          <w:szCs w:val="24"/>
        </w:rPr>
        <w:lastRenderedPageBreak/>
        <w:t xml:space="preserve">• Använd ett engångsförkläde med långa ärmar vid hantering av mixturer, injektioner, infusioner och vid kontakt med utsöndringar. </w:t>
      </w:r>
    </w:p>
    <w:p w:rsidR="00E51DE5" w:rsidRDefault="00E51DE5" w:rsidP="00E51DE5">
      <w:pPr>
        <w:rPr>
          <w:sz w:val="24"/>
          <w:szCs w:val="24"/>
        </w:rPr>
      </w:pPr>
    </w:p>
    <w:p w:rsidR="00E51DE5" w:rsidRPr="00701403" w:rsidRDefault="00E51DE5" w:rsidP="00E51DE5">
      <w:pPr>
        <w:pStyle w:val="BrdtextTierp"/>
        <w:rPr>
          <w:rStyle w:val="Stark"/>
        </w:rPr>
      </w:pPr>
      <w:r w:rsidRPr="00701403">
        <w:rPr>
          <w:rStyle w:val="Stark"/>
        </w:rPr>
        <w:t>Hantering av cytostatika</w:t>
      </w:r>
    </w:p>
    <w:p w:rsidR="00E51DE5" w:rsidRDefault="00E51DE5" w:rsidP="00E51DE5">
      <w:pPr>
        <w:rPr>
          <w:sz w:val="24"/>
          <w:szCs w:val="24"/>
        </w:rPr>
      </w:pPr>
      <w:r w:rsidRPr="008B058F">
        <w:rPr>
          <w:sz w:val="24"/>
          <w:szCs w:val="24"/>
        </w:rPr>
        <w:t xml:space="preserve">• Använd i första hand </w:t>
      </w:r>
      <w:proofErr w:type="spellStart"/>
      <w:r w:rsidRPr="008B058F">
        <w:rPr>
          <w:sz w:val="24"/>
          <w:szCs w:val="24"/>
        </w:rPr>
        <w:t>endos</w:t>
      </w:r>
      <w:proofErr w:type="spellEnd"/>
      <w:r>
        <w:rPr>
          <w:sz w:val="24"/>
          <w:szCs w:val="24"/>
        </w:rPr>
        <w:t>-</w:t>
      </w:r>
      <w:r w:rsidRPr="008B058F">
        <w:rPr>
          <w:sz w:val="24"/>
          <w:szCs w:val="24"/>
        </w:rPr>
        <w:t xml:space="preserve">system. </w:t>
      </w:r>
    </w:p>
    <w:p w:rsidR="00E51DE5" w:rsidRDefault="00E51DE5" w:rsidP="00E51DE5">
      <w:pPr>
        <w:rPr>
          <w:sz w:val="24"/>
          <w:szCs w:val="24"/>
        </w:rPr>
      </w:pPr>
      <w:r w:rsidRPr="008B058F">
        <w:rPr>
          <w:sz w:val="24"/>
          <w:szCs w:val="24"/>
        </w:rPr>
        <w:t>• Cytostatika</w:t>
      </w:r>
      <w:r>
        <w:rPr>
          <w:sz w:val="24"/>
          <w:szCs w:val="24"/>
        </w:rPr>
        <w:t xml:space="preserve"> </w:t>
      </w:r>
      <w:r w:rsidRPr="008B058F">
        <w:rPr>
          <w:sz w:val="24"/>
          <w:szCs w:val="24"/>
        </w:rPr>
        <w:t xml:space="preserve">godkända </w:t>
      </w:r>
      <w:proofErr w:type="spellStart"/>
      <w:r w:rsidRPr="008B058F">
        <w:rPr>
          <w:sz w:val="24"/>
          <w:szCs w:val="24"/>
        </w:rPr>
        <w:t>nitrilhandskar</w:t>
      </w:r>
      <w:proofErr w:type="spellEnd"/>
      <w:r w:rsidRPr="008B058F">
        <w:rPr>
          <w:sz w:val="24"/>
          <w:szCs w:val="24"/>
        </w:rPr>
        <w:t xml:space="preserve"> ska alltid användas vid kontakt med perorala cytostatika. Engångs sked kan användas vid uttag ur burk. </w:t>
      </w:r>
    </w:p>
    <w:p w:rsidR="00E51DE5" w:rsidRDefault="00E51DE5" w:rsidP="00E51DE5">
      <w:pPr>
        <w:rPr>
          <w:sz w:val="24"/>
          <w:szCs w:val="24"/>
        </w:rPr>
      </w:pPr>
      <w:r w:rsidRPr="008B058F">
        <w:rPr>
          <w:sz w:val="24"/>
          <w:szCs w:val="24"/>
        </w:rPr>
        <w:t xml:space="preserve">• Använd inte en förpackning där det finns synligt pulverdamm bland tabletterna. </w:t>
      </w:r>
    </w:p>
    <w:p w:rsidR="00E51DE5" w:rsidRDefault="00E51DE5" w:rsidP="00E51DE5">
      <w:pPr>
        <w:rPr>
          <w:sz w:val="24"/>
          <w:szCs w:val="24"/>
        </w:rPr>
      </w:pPr>
      <w:r w:rsidRPr="008B058F">
        <w:rPr>
          <w:sz w:val="24"/>
          <w:szCs w:val="24"/>
        </w:rPr>
        <w:t xml:space="preserve">• Kapslar eller tabletter får inte delas, krossas eller blandas med vätska. </w:t>
      </w:r>
    </w:p>
    <w:p w:rsidR="00E51DE5" w:rsidRDefault="00E51DE5" w:rsidP="00E51DE5">
      <w:pPr>
        <w:rPr>
          <w:sz w:val="24"/>
          <w:szCs w:val="24"/>
        </w:rPr>
      </w:pPr>
      <w:r w:rsidRPr="008B058F">
        <w:rPr>
          <w:sz w:val="24"/>
          <w:szCs w:val="24"/>
        </w:rPr>
        <w:t xml:space="preserve">• Perorala cytostatika ska förvaras i läkemedelsrummet. </w:t>
      </w:r>
    </w:p>
    <w:p w:rsidR="00E51DE5" w:rsidRDefault="00E51DE5" w:rsidP="00E51DE5">
      <w:pPr>
        <w:rPr>
          <w:sz w:val="24"/>
          <w:szCs w:val="24"/>
        </w:rPr>
      </w:pPr>
      <w:r w:rsidRPr="008B058F">
        <w:rPr>
          <w:sz w:val="24"/>
          <w:szCs w:val="24"/>
        </w:rPr>
        <w:t xml:space="preserve">• Ta reda på om cytostatika tabletten/kapseln ska tas fastande eller inte </w:t>
      </w:r>
    </w:p>
    <w:p w:rsidR="00E51DE5" w:rsidRDefault="00E51DE5" w:rsidP="00E51DE5">
      <w:pPr>
        <w:rPr>
          <w:sz w:val="24"/>
          <w:szCs w:val="24"/>
        </w:rPr>
      </w:pPr>
      <w:r w:rsidRPr="008B058F">
        <w:rPr>
          <w:sz w:val="24"/>
          <w:szCs w:val="24"/>
        </w:rPr>
        <w:t xml:space="preserve">• Tabletter och kapslar ska sväljas med riklig mängd vätska så de inte fastnar i matstrupen. </w:t>
      </w:r>
    </w:p>
    <w:p w:rsidR="00E51DE5" w:rsidRDefault="00E51DE5" w:rsidP="00E51DE5">
      <w:pPr>
        <w:rPr>
          <w:sz w:val="24"/>
          <w:szCs w:val="24"/>
        </w:rPr>
      </w:pPr>
      <w:r w:rsidRPr="008B058F">
        <w:rPr>
          <w:sz w:val="24"/>
          <w:szCs w:val="24"/>
        </w:rPr>
        <w:t>• Vid intravenösa infusioner och injektioner ska läkemedlet vara iordningsställt från leverantör eller apoteket och ett slutet system ska användas.</w:t>
      </w:r>
    </w:p>
    <w:p w:rsidR="00E51DE5" w:rsidRDefault="00E51DE5" w:rsidP="00E51DE5">
      <w:pPr>
        <w:rPr>
          <w:sz w:val="24"/>
          <w:szCs w:val="24"/>
        </w:rPr>
      </w:pPr>
    </w:p>
    <w:p w:rsidR="00E51DE5" w:rsidRPr="00701403" w:rsidRDefault="00E51DE5" w:rsidP="00E51DE5">
      <w:pPr>
        <w:pStyle w:val="BrdtextTierp"/>
        <w:rPr>
          <w:rStyle w:val="Stark"/>
        </w:rPr>
      </w:pPr>
      <w:r w:rsidRPr="00701403">
        <w:rPr>
          <w:rStyle w:val="Stark"/>
        </w:rPr>
        <w:t>Dokumentation</w:t>
      </w:r>
    </w:p>
    <w:p w:rsidR="00E51DE5" w:rsidRPr="008B058F" w:rsidRDefault="00E51DE5" w:rsidP="00E51DE5">
      <w:pPr>
        <w:rPr>
          <w:sz w:val="24"/>
          <w:szCs w:val="24"/>
        </w:rPr>
      </w:pPr>
      <w:r w:rsidRPr="008B058F">
        <w:rPr>
          <w:sz w:val="24"/>
          <w:szCs w:val="24"/>
        </w:rPr>
        <w:t>• Dokumentera noggrant alla steg i hanteringen enligt föreskrifter och rutiner.</w:t>
      </w:r>
    </w:p>
    <w:p w:rsidR="00E51DE5" w:rsidRPr="008B058F" w:rsidRDefault="00E51DE5" w:rsidP="00E51DE5">
      <w:pPr>
        <w:rPr>
          <w:sz w:val="24"/>
          <w:szCs w:val="24"/>
        </w:rPr>
      </w:pPr>
      <w:r w:rsidRPr="008B058F">
        <w:rPr>
          <w:sz w:val="24"/>
          <w:szCs w:val="24"/>
        </w:rPr>
        <w:t xml:space="preserve">• Vid tveksamhet eller händelser, rapportera till ansvarig personal och dokumentera </w:t>
      </w:r>
    </w:p>
    <w:p w:rsidR="00E51DE5" w:rsidRDefault="00E51DE5" w:rsidP="00E51DE5">
      <w:pPr>
        <w:rPr>
          <w:sz w:val="24"/>
          <w:szCs w:val="24"/>
        </w:rPr>
      </w:pPr>
      <w:r w:rsidRPr="008B058F">
        <w:rPr>
          <w:sz w:val="24"/>
          <w:szCs w:val="24"/>
        </w:rPr>
        <w:t>händelsen.</w:t>
      </w:r>
    </w:p>
    <w:p w:rsidR="00E51DE5" w:rsidRDefault="00E51DE5" w:rsidP="00E51DE5">
      <w:pPr>
        <w:rPr>
          <w:sz w:val="24"/>
          <w:szCs w:val="24"/>
        </w:rPr>
      </w:pPr>
    </w:p>
    <w:p w:rsidR="00E51DE5" w:rsidRPr="00701403" w:rsidRDefault="00E51DE5" w:rsidP="00E51DE5">
      <w:pPr>
        <w:pStyle w:val="BrdtextTierp"/>
        <w:rPr>
          <w:rStyle w:val="Stark"/>
        </w:rPr>
      </w:pPr>
      <w:r w:rsidRPr="00701403">
        <w:rPr>
          <w:rStyle w:val="Stark"/>
        </w:rPr>
        <w:t>Avfall</w:t>
      </w:r>
    </w:p>
    <w:p w:rsidR="00E51DE5" w:rsidRPr="008B058F" w:rsidRDefault="00E51DE5" w:rsidP="00E51DE5">
      <w:pPr>
        <w:rPr>
          <w:sz w:val="24"/>
          <w:szCs w:val="24"/>
        </w:rPr>
      </w:pPr>
      <w:r w:rsidRPr="008B058F">
        <w:rPr>
          <w:sz w:val="24"/>
          <w:szCs w:val="24"/>
        </w:rPr>
        <w:t xml:space="preserve">Det ska finnas skriftliga instruktioner för uppsamling av avfall, spill och utsöndringar från </w:t>
      </w:r>
    </w:p>
    <w:p w:rsidR="00E51DE5" w:rsidRPr="008B058F" w:rsidRDefault="00E51DE5" w:rsidP="00E51DE5">
      <w:pPr>
        <w:rPr>
          <w:sz w:val="24"/>
          <w:szCs w:val="24"/>
        </w:rPr>
      </w:pPr>
      <w:r w:rsidRPr="008B058F">
        <w:rPr>
          <w:sz w:val="24"/>
          <w:szCs w:val="24"/>
        </w:rPr>
        <w:t>patienter.</w:t>
      </w:r>
    </w:p>
    <w:p w:rsidR="00E51DE5" w:rsidRDefault="00E51DE5" w:rsidP="00E51DE5">
      <w:pPr>
        <w:rPr>
          <w:sz w:val="24"/>
          <w:szCs w:val="24"/>
        </w:rPr>
      </w:pPr>
      <w:r w:rsidRPr="008B058F">
        <w:rPr>
          <w:sz w:val="24"/>
          <w:szCs w:val="24"/>
        </w:rPr>
        <w:t>• Vid kontakt med utsöndringar/kroppsvätskor ska alltid basala hygienrutiner tillämpas.</w:t>
      </w:r>
    </w:p>
    <w:p w:rsidR="00E51DE5" w:rsidRPr="008B058F" w:rsidRDefault="00E51DE5" w:rsidP="00E51DE5">
      <w:pPr>
        <w:rPr>
          <w:sz w:val="24"/>
          <w:szCs w:val="24"/>
        </w:rPr>
      </w:pPr>
      <w:r w:rsidRPr="008B058F">
        <w:rPr>
          <w:sz w:val="24"/>
          <w:szCs w:val="24"/>
        </w:rPr>
        <w:t xml:space="preserve">• Avfall som uppstår vid hantering eller vid kontakt med cytostatika behandlad patient är </w:t>
      </w:r>
    </w:p>
    <w:p w:rsidR="00E51DE5" w:rsidRPr="008B058F" w:rsidRDefault="00E51DE5" w:rsidP="00E51DE5">
      <w:pPr>
        <w:rPr>
          <w:sz w:val="24"/>
          <w:szCs w:val="24"/>
        </w:rPr>
      </w:pPr>
      <w:r w:rsidRPr="008B058F">
        <w:rPr>
          <w:sz w:val="24"/>
          <w:szCs w:val="24"/>
        </w:rPr>
        <w:t xml:space="preserve">riskavfall. </w:t>
      </w:r>
    </w:p>
    <w:p w:rsidR="00E51DE5" w:rsidRPr="008B058F" w:rsidRDefault="00E51DE5" w:rsidP="00E51DE5">
      <w:pPr>
        <w:rPr>
          <w:sz w:val="24"/>
          <w:szCs w:val="24"/>
        </w:rPr>
      </w:pPr>
      <w:r w:rsidRPr="008B058F">
        <w:rPr>
          <w:sz w:val="24"/>
          <w:szCs w:val="24"/>
        </w:rPr>
        <w:t xml:space="preserve">• Omhändertagande av cytostatika kontaminerat avfall ska ske på sådant sätt, att personal och omgivning i alla hanteringsled skyddas från exponering. </w:t>
      </w:r>
    </w:p>
    <w:p w:rsidR="00E51DE5" w:rsidRPr="008B058F" w:rsidRDefault="00E51DE5" w:rsidP="00E51DE5">
      <w:pPr>
        <w:rPr>
          <w:sz w:val="24"/>
          <w:szCs w:val="24"/>
        </w:rPr>
      </w:pPr>
      <w:r w:rsidRPr="008B058F">
        <w:rPr>
          <w:sz w:val="24"/>
          <w:szCs w:val="24"/>
        </w:rPr>
        <w:t xml:space="preserve">• Vid all hantering av </w:t>
      </w:r>
      <w:proofErr w:type="spellStart"/>
      <w:r w:rsidRPr="008B058F">
        <w:rPr>
          <w:sz w:val="24"/>
          <w:szCs w:val="24"/>
        </w:rPr>
        <w:t>cytostatikakontaminerat</w:t>
      </w:r>
      <w:proofErr w:type="spellEnd"/>
      <w:r w:rsidRPr="008B058F">
        <w:rPr>
          <w:sz w:val="24"/>
          <w:szCs w:val="24"/>
        </w:rPr>
        <w:t xml:space="preserve"> avfall/riskavfall ska utrustning som snabbt innesluter riskavfallet användas. </w:t>
      </w:r>
    </w:p>
    <w:p w:rsidR="00E51DE5" w:rsidRPr="008B058F" w:rsidRDefault="00E51DE5" w:rsidP="00E51DE5">
      <w:pPr>
        <w:rPr>
          <w:sz w:val="24"/>
          <w:szCs w:val="24"/>
        </w:rPr>
      </w:pPr>
      <w:r w:rsidRPr="008B058F">
        <w:rPr>
          <w:sz w:val="24"/>
          <w:szCs w:val="24"/>
        </w:rPr>
        <w:t xml:space="preserve">• Allt </w:t>
      </w:r>
      <w:proofErr w:type="spellStart"/>
      <w:r w:rsidRPr="008B058F">
        <w:rPr>
          <w:sz w:val="24"/>
          <w:szCs w:val="24"/>
        </w:rPr>
        <w:t>cytostatikakontaminerat</w:t>
      </w:r>
      <w:proofErr w:type="spellEnd"/>
      <w:r w:rsidRPr="008B058F">
        <w:rPr>
          <w:sz w:val="24"/>
          <w:szCs w:val="24"/>
        </w:rPr>
        <w:t xml:space="preserve"> material (även skärande/stickande) som använts, kasseras </w:t>
      </w:r>
    </w:p>
    <w:p w:rsidR="00E51DE5" w:rsidRPr="008B058F" w:rsidRDefault="00E51DE5" w:rsidP="00E51DE5">
      <w:pPr>
        <w:rPr>
          <w:sz w:val="24"/>
          <w:szCs w:val="24"/>
        </w:rPr>
      </w:pPr>
      <w:r w:rsidRPr="008B058F">
        <w:rPr>
          <w:sz w:val="24"/>
          <w:szCs w:val="24"/>
        </w:rPr>
        <w:t xml:space="preserve">i riskavfallsbehållare, som märks med etikett. </w:t>
      </w:r>
    </w:p>
    <w:p w:rsidR="00E51DE5" w:rsidRPr="008B058F" w:rsidRDefault="00E51DE5" w:rsidP="00E51DE5">
      <w:pPr>
        <w:rPr>
          <w:sz w:val="24"/>
          <w:szCs w:val="24"/>
        </w:rPr>
      </w:pPr>
      <w:r w:rsidRPr="008B058F">
        <w:rPr>
          <w:sz w:val="24"/>
          <w:szCs w:val="24"/>
        </w:rPr>
        <w:t xml:space="preserve">• Behållare ska hållas förslutna så att avdunstning och damm inte kommer ut i </w:t>
      </w:r>
    </w:p>
    <w:p w:rsidR="00E51DE5" w:rsidRDefault="00E51DE5" w:rsidP="00E51DE5">
      <w:pPr>
        <w:rPr>
          <w:sz w:val="24"/>
          <w:szCs w:val="24"/>
        </w:rPr>
      </w:pPr>
      <w:r w:rsidRPr="008B058F">
        <w:rPr>
          <w:sz w:val="24"/>
          <w:szCs w:val="24"/>
        </w:rPr>
        <w:t>rumsluften.</w:t>
      </w:r>
    </w:p>
    <w:p w:rsidR="00E51DE5" w:rsidRDefault="00E51DE5" w:rsidP="00E51DE5">
      <w:pPr>
        <w:rPr>
          <w:sz w:val="24"/>
          <w:szCs w:val="24"/>
        </w:rPr>
      </w:pPr>
    </w:p>
    <w:p w:rsidR="00E51DE5" w:rsidRPr="006B687B" w:rsidRDefault="00E51DE5" w:rsidP="00E51DE5">
      <w:pPr>
        <w:pStyle w:val="BrdtextTierp"/>
        <w:rPr>
          <w:rStyle w:val="Stark"/>
          <w:bCs w:val="0"/>
        </w:rPr>
      </w:pPr>
      <w:r w:rsidRPr="006B687B">
        <w:rPr>
          <w:rStyle w:val="Stark"/>
          <w:bCs w:val="0"/>
        </w:rPr>
        <w:t>Omhändertagande av utsöndringar</w:t>
      </w:r>
    </w:p>
    <w:p w:rsidR="00E51DE5" w:rsidRPr="008B058F" w:rsidRDefault="00E51DE5" w:rsidP="00E51DE5">
      <w:pPr>
        <w:rPr>
          <w:sz w:val="24"/>
          <w:szCs w:val="24"/>
        </w:rPr>
      </w:pPr>
      <w:r w:rsidRPr="008B058F">
        <w:rPr>
          <w:sz w:val="24"/>
          <w:szCs w:val="24"/>
        </w:rPr>
        <w:t xml:space="preserve">Cytostatika kan utsöndras flera dagar efter det att läkemedlet </w:t>
      </w:r>
      <w:proofErr w:type="gramStart"/>
      <w:r w:rsidRPr="008B058F">
        <w:rPr>
          <w:sz w:val="24"/>
          <w:szCs w:val="24"/>
        </w:rPr>
        <w:t>givits</w:t>
      </w:r>
      <w:proofErr w:type="gramEnd"/>
      <w:r w:rsidRPr="008B058F">
        <w:rPr>
          <w:sz w:val="24"/>
          <w:szCs w:val="24"/>
        </w:rPr>
        <w:t xml:space="preserve">. Olika medel har olika </w:t>
      </w:r>
    </w:p>
    <w:p w:rsidR="00E51DE5" w:rsidRPr="008B058F" w:rsidRDefault="00E51DE5" w:rsidP="00E51DE5">
      <w:pPr>
        <w:rPr>
          <w:sz w:val="24"/>
          <w:szCs w:val="24"/>
        </w:rPr>
      </w:pPr>
      <w:r w:rsidRPr="008B058F">
        <w:rPr>
          <w:sz w:val="24"/>
          <w:szCs w:val="24"/>
        </w:rPr>
        <w:t xml:space="preserve">utsöndringstid. Urin, avföring, kräkningar, blod och svett kan innehålla läkemedel i flera </w:t>
      </w:r>
    </w:p>
    <w:p w:rsidR="00E51DE5" w:rsidRPr="008B058F" w:rsidRDefault="00E51DE5" w:rsidP="00E51DE5">
      <w:pPr>
        <w:rPr>
          <w:sz w:val="24"/>
          <w:szCs w:val="24"/>
        </w:rPr>
      </w:pPr>
      <w:r w:rsidRPr="008B058F">
        <w:rPr>
          <w:sz w:val="24"/>
          <w:szCs w:val="24"/>
        </w:rPr>
        <w:t xml:space="preserve">dagar. En del läkemedel och/eller verksamma rester av dessa kan utsöndras hos patienter mer </w:t>
      </w:r>
    </w:p>
    <w:p w:rsidR="00E51DE5" w:rsidRPr="008B058F" w:rsidRDefault="00E51DE5" w:rsidP="00E51DE5">
      <w:pPr>
        <w:rPr>
          <w:sz w:val="24"/>
          <w:szCs w:val="24"/>
        </w:rPr>
      </w:pPr>
      <w:r w:rsidRPr="008B058F">
        <w:rPr>
          <w:sz w:val="24"/>
          <w:szCs w:val="24"/>
        </w:rPr>
        <w:t xml:space="preserve">än fem dygn efter behandlingen, därför ska utsöndringstiden av cytostatika kontrolleras </w:t>
      </w:r>
    </w:p>
    <w:p w:rsidR="00E51DE5" w:rsidRPr="008B058F" w:rsidRDefault="00E51DE5" w:rsidP="00E51DE5">
      <w:pPr>
        <w:rPr>
          <w:sz w:val="24"/>
          <w:szCs w:val="24"/>
        </w:rPr>
      </w:pPr>
      <w:r w:rsidRPr="008B058F">
        <w:rPr>
          <w:sz w:val="24"/>
          <w:szCs w:val="24"/>
        </w:rPr>
        <w:t xml:space="preserve">genom vad som står skrivet i FASS, i cytostatika manualer eller i särskilda broschyrer från </w:t>
      </w:r>
    </w:p>
    <w:p w:rsidR="00E51DE5" w:rsidRPr="008B058F" w:rsidRDefault="00E51DE5" w:rsidP="00E51DE5">
      <w:pPr>
        <w:rPr>
          <w:sz w:val="24"/>
          <w:szCs w:val="24"/>
        </w:rPr>
      </w:pPr>
      <w:r w:rsidRPr="008B058F">
        <w:rPr>
          <w:sz w:val="24"/>
          <w:szCs w:val="24"/>
        </w:rPr>
        <w:t xml:space="preserve">läkemedelstillverkarna. Generellt betraktas cytostatika utsöndras sju dygn efter given </w:t>
      </w:r>
    </w:p>
    <w:p w:rsidR="00E51DE5" w:rsidRDefault="00E51DE5" w:rsidP="00E51DE5">
      <w:pPr>
        <w:rPr>
          <w:sz w:val="24"/>
          <w:szCs w:val="24"/>
        </w:rPr>
      </w:pPr>
      <w:r w:rsidRPr="008B058F">
        <w:rPr>
          <w:sz w:val="24"/>
          <w:szCs w:val="24"/>
        </w:rPr>
        <w:t xml:space="preserve">cytostatikabehandling. </w:t>
      </w:r>
    </w:p>
    <w:p w:rsidR="00E51DE5" w:rsidRPr="008B058F" w:rsidRDefault="00E51DE5" w:rsidP="00E51DE5">
      <w:pPr>
        <w:rPr>
          <w:sz w:val="24"/>
          <w:szCs w:val="24"/>
        </w:rPr>
      </w:pPr>
    </w:p>
    <w:p w:rsidR="00E51DE5" w:rsidRPr="005728B4" w:rsidRDefault="00E51DE5" w:rsidP="00E51DE5">
      <w:pPr>
        <w:rPr>
          <w:b/>
          <w:sz w:val="24"/>
          <w:szCs w:val="24"/>
        </w:rPr>
      </w:pPr>
      <w:r w:rsidRPr="005728B4">
        <w:rPr>
          <w:b/>
          <w:sz w:val="24"/>
          <w:szCs w:val="24"/>
        </w:rPr>
        <w:t>Under utsöndringstiden gäller följande:</w:t>
      </w:r>
    </w:p>
    <w:p w:rsidR="00E51DE5" w:rsidRPr="005728B4" w:rsidRDefault="00E51DE5" w:rsidP="00E51DE5">
      <w:pPr>
        <w:pStyle w:val="Liststycke"/>
        <w:numPr>
          <w:ilvl w:val="0"/>
          <w:numId w:val="1"/>
        </w:numPr>
      </w:pPr>
      <w:r w:rsidRPr="005728B4">
        <w:t>Basala hygienrutiner</w:t>
      </w:r>
    </w:p>
    <w:p w:rsidR="00E51DE5" w:rsidRPr="005728B4" w:rsidRDefault="00E51DE5" w:rsidP="00E51DE5">
      <w:pPr>
        <w:pStyle w:val="Liststycke"/>
        <w:numPr>
          <w:ilvl w:val="0"/>
          <w:numId w:val="1"/>
        </w:numPr>
      </w:pPr>
      <w:r w:rsidRPr="005728B4">
        <w:t>Använd skyddsrock med mudd och cytostatika</w:t>
      </w:r>
      <w:r>
        <w:t xml:space="preserve"> </w:t>
      </w:r>
      <w:r w:rsidRPr="005728B4">
        <w:t xml:space="preserve">godkända </w:t>
      </w:r>
      <w:proofErr w:type="spellStart"/>
      <w:r w:rsidRPr="005728B4">
        <w:t>nitrilhandskar</w:t>
      </w:r>
      <w:proofErr w:type="spellEnd"/>
      <w:r w:rsidRPr="005728B4">
        <w:t xml:space="preserve"> vid omhändertagande av utsöndringar. Om vårdtagarbunden skyddsrock med mudd används ska den bytas dagligen eller om den blir våt eller synligt förorenad. Det går också bra att använda långärmad engångs plastförkläde. </w:t>
      </w:r>
    </w:p>
    <w:p w:rsidR="00E51DE5" w:rsidRPr="005728B4" w:rsidRDefault="00E51DE5" w:rsidP="00E51DE5">
      <w:pPr>
        <w:pStyle w:val="Liststycke"/>
        <w:numPr>
          <w:ilvl w:val="0"/>
          <w:numId w:val="1"/>
        </w:numPr>
      </w:pPr>
      <w:r w:rsidRPr="005728B4">
        <w:t xml:space="preserve">Om urin samlas i flaska eller bäcken ska lock användas. Låt urinen svalna på grund av att varm urin förångas mer. Häll därefter urinen försiktigt i </w:t>
      </w:r>
      <w:proofErr w:type="spellStart"/>
      <w:r w:rsidRPr="005728B4">
        <w:t>spoldesinfektorn</w:t>
      </w:r>
      <w:proofErr w:type="spellEnd"/>
      <w:r w:rsidRPr="005728B4">
        <w:t xml:space="preserve"> eller i toaletten och fäll ned locket vid spolning för att undvika stänk. </w:t>
      </w:r>
    </w:p>
    <w:p w:rsidR="00E51DE5" w:rsidRPr="005728B4" w:rsidRDefault="00E51DE5" w:rsidP="00E51DE5">
      <w:pPr>
        <w:pStyle w:val="Liststycke"/>
        <w:numPr>
          <w:ilvl w:val="0"/>
          <w:numId w:val="1"/>
        </w:numPr>
      </w:pPr>
      <w:r w:rsidRPr="005728B4">
        <w:t xml:space="preserve">Bäcken och urinflaska bör rengöras och desinfekteras i spol- och </w:t>
      </w:r>
      <w:proofErr w:type="spellStart"/>
      <w:r w:rsidRPr="005728B4">
        <w:t>diskdesinfektor</w:t>
      </w:r>
      <w:proofErr w:type="spellEnd"/>
      <w:r w:rsidRPr="005728B4">
        <w:t xml:space="preserve"> alternativt genom manuell desinfektering.</w:t>
      </w:r>
    </w:p>
    <w:p w:rsidR="00E51DE5" w:rsidRPr="005728B4" w:rsidRDefault="00E51DE5" w:rsidP="00E51DE5">
      <w:pPr>
        <w:pStyle w:val="Liststycke"/>
        <w:numPr>
          <w:ilvl w:val="0"/>
          <w:numId w:val="1"/>
        </w:numPr>
      </w:pPr>
      <w:r w:rsidRPr="005728B4">
        <w:t>Urin i urinpåsar kan slängas direkt i farligt avfall utan att tömmas. Använd inte tömningsbara urinpåsar.</w:t>
      </w:r>
    </w:p>
    <w:p w:rsidR="00E51DE5" w:rsidRPr="005728B4" w:rsidRDefault="00E51DE5" w:rsidP="00E51DE5">
      <w:pPr>
        <w:pStyle w:val="Liststycke"/>
        <w:numPr>
          <w:ilvl w:val="0"/>
          <w:numId w:val="1"/>
        </w:numPr>
      </w:pPr>
      <w:r w:rsidRPr="005728B4">
        <w:t>Använda inkontinensskydd läggs i plastpåse som försluts. Därefter kasseras den i farligt avfall.</w:t>
      </w:r>
    </w:p>
    <w:p w:rsidR="00E51DE5" w:rsidRPr="005728B4" w:rsidRDefault="00E51DE5" w:rsidP="00E51DE5">
      <w:pPr>
        <w:pStyle w:val="Liststycke"/>
        <w:numPr>
          <w:ilvl w:val="0"/>
          <w:numId w:val="1"/>
        </w:numPr>
      </w:pPr>
      <w:r w:rsidRPr="005728B4">
        <w:t>Omhänderta flergångsmaterial och desinfektera i disk- eller spoldesinfektor.</w:t>
      </w:r>
    </w:p>
    <w:p w:rsidR="00E51DE5" w:rsidRPr="005728B4" w:rsidRDefault="00E51DE5" w:rsidP="00E51DE5">
      <w:pPr>
        <w:pStyle w:val="Liststycke"/>
        <w:numPr>
          <w:ilvl w:val="0"/>
          <w:numId w:val="1"/>
        </w:numPr>
      </w:pPr>
      <w:r w:rsidRPr="005728B4">
        <w:t>Omhänderta engångsmaterial som farligt avfall. Förslut avfallet i plastpåse och lägg i farligt avfall. Märk förpackningen med "Farligt avfall" och "</w:t>
      </w:r>
      <w:proofErr w:type="spellStart"/>
      <w:r w:rsidRPr="005728B4">
        <w:t>Cytostatikaavfall</w:t>
      </w:r>
      <w:proofErr w:type="spellEnd"/>
      <w:r w:rsidRPr="005728B4">
        <w:t>".</w:t>
      </w:r>
    </w:p>
    <w:p w:rsidR="00E51DE5" w:rsidRPr="008B058F" w:rsidRDefault="00E51DE5" w:rsidP="00E51DE5">
      <w:pPr>
        <w:rPr>
          <w:sz w:val="24"/>
          <w:szCs w:val="24"/>
        </w:rPr>
      </w:pPr>
    </w:p>
    <w:p w:rsidR="00E51DE5" w:rsidRPr="006B687B" w:rsidRDefault="00E51DE5" w:rsidP="00E51DE5">
      <w:pPr>
        <w:pStyle w:val="BrdtextTierp"/>
        <w:rPr>
          <w:b/>
        </w:rPr>
      </w:pPr>
      <w:r w:rsidRPr="006B687B">
        <w:rPr>
          <w:b/>
        </w:rPr>
        <w:t>Spill av kroppsvätskor på ytor och föremål</w:t>
      </w:r>
    </w:p>
    <w:p w:rsidR="00E51DE5" w:rsidRPr="008B058F" w:rsidRDefault="00E51DE5" w:rsidP="00E51DE5">
      <w:pPr>
        <w:rPr>
          <w:sz w:val="24"/>
          <w:szCs w:val="24"/>
        </w:rPr>
      </w:pPr>
      <w:r w:rsidRPr="008B058F">
        <w:rPr>
          <w:sz w:val="24"/>
          <w:szCs w:val="24"/>
        </w:rPr>
        <w:t>Torka genast upp eventuellt spill och rengör ytan noggrant. Torka utifrån och in för att minska</w:t>
      </w:r>
      <w:r>
        <w:rPr>
          <w:sz w:val="24"/>
          <w:szCs w:val="24"/>
        </w:rPr>
        <w:t xml:space="preserve"> </w:t>
      </w:r>
      <w:r w:rsidRPr="008B058F">
        <w:rPr>
          <w:sz w:val="24"/>
          <w:szCs w:val="24"/>
        </w:rPr>
        <w:t>ytan som kontaminera</w:t>
      </w:r>
      <w:r>
        <w:rPr>
          <w:sz w:val="24"/>
          <w:szCs w:val="24"/>
        </w:rPr>
        <w:t>t</w:t>
      </w:r>
      <w:r w:rsidRPr="008B058F">
        <w:rPr>
          <w:sz w:val="24"/>
          <w:szCs w:val="24"/>
        </w:rPr>
        <w:t>s. Använd engångsmaterial att torka upp med. Använt engångsmaterial</w:t>
      </w:r>
      <w:r>
        <w:rPr>
          <w:sz w:val="24"/>
          <w:szCs w:val="24"/>
        </w:rPr>
        <w:t xml:space="preserve"> </w:t>
      </w:r>
      <w:r w:rsidRPr="008B058F">
        <w:rPr>
          <w:sz w:val="24"/>
          <w:szCs w:val="24"/>
        </w:rPr>
        <w:t xml:space="preserve">läggs därefter i en plastpåse som försluts innan det kasseras bland hushållsavfall. </w:t>
      </w:r>
    </w:p>
    <w:p w:rsidR="00E51DE5" w:rsidRDefault="00E51DE5" w:rsidP="00E51DE5">
      <w:pPr>
        <w:rPr>
          <w:sz w:val="24"/>
          <w:szCs w:val="24"/>
        </w:rPr>
      </w:pPr>
      <w:r w:rsidRPr="008B058F">
        <w:rPr>
          <w:sz w:val="24"/>
          <w:szCs w:val="24"/>
        </w:rPr>
        <w:t>Punktdesinfektion ska utföras efter rengöring.</w:t>
      </w:r>
    </w:p>
    <w:p w:rsidR="00E51DE5" w:rsidRDefault="00E51DE5" w:rsidP="00E51DE5">
      <w:pPr>
        <w:rPr>
          <w:sz w:val="24"/>
          <w:szCs w:val="24"/>
        </w:rPr>
      </w:pPr>
    </w:p>
    <w:p w:rsidR="00E51DE5" w:rsidRPr="005728B4" w:rsidRDefault="00E51DE5" w:rsidP="00E51DE5">
      <w:pPr>
        <w:pStyle w:val="BrdtextTierp"/>
      </w:pPr>
      <w:proofErr w:type="spellStart"/>
      <w:r w:rsidRPr="006B687B">
        <w:rPr>
          <w:b/>
        </w:rPr>
        <w:t>Tvätthantering</w:t>
      </w:r>
      <w:proofErr w:type="spellEnd"/>
      <w:r w:rsidRPr="005728B4">
        <w:t xml:space="preserve"> </w:t>
      </w:r>
    </w:p>
    <w:p w:rsidR="00E51DE5" w:rsidRPr="005728B4" w:rsidRDefault="00E51DE5" w:rsidP="00E51DE5">
      <w:pPr>
        <w:rPr>
          <w:sz w:val="24"/>
          <w:szCs w:val="24"/>
        </w:rPr>
      </w:pPr>
      <w:r w:rsidRPr="005728B4">
        <w:rPr>
          <w:sz w:val="24"/>
          <w:szCs w:val="24"/>
        </w:rPr>
        <w:t>Tvätten klassificeras som risktvätt om tvätt förorenats av större mängd utsöndring inom sju</w:t>
      </w:r>
      <w:r>
        <w:rPr>
          <w:sz w:val="24"/>
          <w:szCs w:val="24"/>
        </w:rPr>
        <w:t xml:space="preserve"> </w:t>
      </w:r>
      <w:r w:rsidRPr="005728B4">
        <w:rPr>
          <w:sz w:val="24"/>
          <w:szCs w:val="24"/>
        </w:rPr>
        <w:t xml:space="preserve">dygn efter att cytostatika </w:t>
      </w:r>
      <w:proofErr w:type="gramStart"/>
      <w:r w:rsidRPr="005728B4">
        <w:rPr>
          <w:sz w:val="24"/>
          <w:szCs w:val="24"/>
        </w:rPr>
        <w:t>givits</w:t>
      </w:r>
      <w:proofErr w:type="gramEnd"/>
      <w:r w:rsidRPr="005728B4">
        <w:rPr>
          <w:sz w:val="24"/>
          <w:szCs w:val="24"/>
        </w:rPr>
        <w:t>. Om tvätten är förorenad</w:t>
      </w:r>
      <w:proofErr w:type="gramStart"/>
      <w:r w:rsidRPr="005728B4">
        <w:rPr>
          <w:sz w:val="24"/>
          <w:szCs w:val="24"/>
        </w:rPr>
        <w:t xml:space="preserve"> (dvs. innehåller urin, kräkning,</w:t>
      </w:r>
      <w:proofErr w:type="gramEnd"/>
      <w:r w:rsidRPr="005728B4">
        <w:rPr>
          <w:sz w:val="24"/>
          <w:szCs w:val="24"/>
        </w:rPr>
        <w:t xml:space="preserve"> </w:t>
      </w:r>
    </w:p>
    <w:p w:rsidR="00E51DE5" w:rsidRPr="005728B4" w:rsidRDefault="00E51DE5" w:rsidP="00E51DE5">
      <w:pPr>
        <w:rPr>
          <w:sz w:val="24"/>
          <w:szCs w:val="24"/>
        </w:rPr>
      </w:pPr>
      <w:r w:rsidRPr="005728B4">
        <w:rPr>
          <w:sz w:val="24"/>
          <w:szCs w:val="24"/>
        </w:rPr>
        <w:t xml:space="preserve">avföring, riklig svettning) använd skyddsrock och handskar. Textilier som förorenats </w:t>
      </w:r>
      <w:proofErr w:type="gramStart"/>
      <w:r w:rsidRPr="005728B4">
        <w:rPr>
          <w:sz w:val="24"/>
          <w:szCs w:val="24"/>
        </w:rPr>
        <w:t>bytes</w:t>
      </w:r>
      <w:proofErr w:type="gramEnd"/>
      <w:r w:rsidRPr="005728B4">
        <w:rPr>
          <w:sz w:val="24"/>
          <w:szCs w:val="24"/>
        </w:rPr>
        <w:t xml:space="preserve"> </w:t>
      </w:r>
    </w:p>
    <w:p w:rsidR="00E51DE5" w:rsidRPr="005728B4" w:rsidRDefault="00E51DE5" w:rsidP="00E51DE5">
      <w:pPr>
        <w:rPr>
          <w:sz w:val="24"/>
          <w:szCs w:val="24"/>
        </w:rPr>
      </w:pPr>
      <w:proofErr w:type="gramStart"/>
      <w:r w:rsidRPr="005728B4">
        <w:rPr>
          <w:sz w:val="24"/>
          <w:szCs w:val="24"/>
        </w:rPr>
        <w:t>omedelbart och tvättas omedelbart i tvättmaskin.</w:t>
      </w:r>
      <w:proofErr w:type="gramEnd"/>
      <w:r w:rsidRPr="005728B4">
        <w:rPr>
          <w:sz w:val="24"/>
          <w:szCs w:val="24"/>
        </w:rPr>
        <w:t xml:space="preserve"> I fall där</w:t>
      </w:r>
      <w:r>
        <w:rPr>
          <w:sz w:val="24"/>
          <w:szCs w:val="24"/>
        </w:rPr>
        <w:t xml:space="preserve"> detta inte går ska textilierna </w:t>
      </w:r>
      <w:r w:rsidRPr="005728B4">
        <w:rPr>
          <w:sz w:val="24"/>
          <w:szCs w:val="24"/>
        </w:rPr>
        <w:t xml:space="preserve">förslutas i en plastpåse fram till dess att tvätt kan ske. Tvätten som har förorenats tvättas </w:t>
      </w:r>
    </w:p>
    <w:p w:rsidR="00E51DE5" w:rsidRPr="005728B4" w:rsidRDefault="00E51DE5" w:rsidP="00E51DE5">
      <w:pPr>
        <w:rPr>
          <w:sz w:val="24"/>
          <w:szCs w:val="24"/>
        </w:rPr>
      </w:pPr>
      <w:r w:rsidRPr="005728B4">
        <w:rPr>
          <w:sz w:val="24"/>
          <w:szCs w:val="24"/>
        </w:rPr>
        <w:t xml:space="preserve">separat. </w:t>
      </w:r>
    </w:p>
    <w:p w:rsidR="00E51DE5" w:rsidRPr="005728B4" w:rsidRDefault="00E51DE5" w:rsidP="00E51DE5">
      <w:pPr>
        <w:rPr>
          <w:sz w:val="24"/>
          <w:szCs w:val="24"/>
        </w:rPr>
      </w:pPr>
      <w:r w:rsidRPr="005728B4">
        <w:rPr>
          <w:sz w:val="24"/>
          <w:szCs w:val="24"/>
        </w:rPr>
        <w:t xml:space="preserve">Vid bäddning och omhändertagande av sängkläder ska arbete ske på sådant sätt att sängkläder </w:t>
      </w:r>
    </w:p>
    <w:p w:rsidR="00E51DE5" w:rsidRDefault="00E51DE5" w:rsidP="00E51DE5">
      <w:pPr>
        <w:rPr>
          <w:sz w:val="24"/>
          <w:szCs w:val="24"/>
        </w:rPr>
      </w:pPr>
      <w:proofErr w:type="gramStart"/>
      <w:r w:rsidRPr="005728B4">
        <w:rPr>
          <w:sz w:val="24"/>
          <w:szCs w:val="24"/>
        </w:rPr>
        <w:t>inte skakas.</w:t>
      </w:r>
      <w:proofErr w:type="gramEnd"/>
    </w:p>
    <w:sectPr w:rsidR="00E51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72AA9"/>
    <w:multiLevelType w:val="hybridMultilevel"/>
    <w:tmpl w:val="A34E5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E5"/>
    <w:rsid w:val="001B73AB"/>
    <w:rsid w:val="008A64BF"/>
    <w:rsid w:val="00CC0643"/>
    <w:rsid w:val="00E51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9E3E"/>
  <w15:chartTrackingRefBased/>
  <w15:docId w15:val="{AF5EAD65-FD6A-47B7-A1E6-797F33E9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DE5"/>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Brdtext"/>
    <w:link w:val="Rubrik1Char"/>
    <w:qFormat/>
    <w:rsid w:val="00E51DE5"/>
    <w:pPr>
      <w:keepNext/>
      <w:keepLines/>
      <w:spacing w:before="240" w:after="240"/>
      <w:ind w:left="360" w:hanging="360"/>
      <w:outlineLvl w:val="0"/>
    </w:pPr>
    <w:rPr>
      <w:rFonts w:ascii="Arial" w:eastAsiaTheme="majorEastAsia" w:hAnsi="Arial" w:cs="Arial"/>
      <w:b/>
      <w:bCs/>
      <w:color w:val="000000" w:themeColor="text1"/>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51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E51DE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51DE5"/>
    <w:rPr>
      <w:rFonts w:asciiTheme="majorHAnsi" w:eastAsiaTheme="majorEastAsia" w:hAnsiTheme="majorHAnsi" w:cstheme="majorBidi"/>
      <w:spacing w:val="-10"/>
      <w:kern w:val="28"/>
      <w:sz w:val="56"/>
      <w:szCs w:val="56"/>
      <w:lang w:eastAsia="sv-SE"/>
    </w:rPr>
  </w:style>
  <w:style w:type="character" w:customStyle="1" w:styleId="Rubrik1Char">
    <w:name w:val="Rubrik 1 Char"/>
    <w:basedOn w:val="Standardstycketeckensnitt"/>
    <w:link w:val="Rubrik1"/>
    <w:rsid w:val="00E51DE5"/>
    <w:rPr>
      <w:rFonts w:ascii="Arial" w:eastAsiaTheme="majorEastAsia" w:hAnsi="Arial" w:cs="Arial"/>
      <w:b/>
      <w:bCs/>
      <w:color w:val="000000" w:themeColor="text1"/>
      <w:sz w:val="32"/>
      <w:szCs w:val="32"/>
      <w:lang w:eastAsia="sv-SE"/>
    </w:rPr>
  </w:style>
  <w:style w:type="character" w:styleId="Hyperlnk">
    <w:name w:val="Hyperlink"/>
    <w:basedOn w:val="Standardstycketeckensnitt"/>
    <w:uiPriority w:val="99"/>
    <w:rsid w:val="00E51DE5"/>
    <w:rPr>
      <w:color w:val="0000FF"/>
      <w:u w:val="single"/>
    </w:rPr>
  </w:style>
  <w:style w:type="paragraph" w:styleId="Brdtext">
    <w:name w:val="Body Text"/>
    <w:basedOn w:val="Normal"/>
    <w:link w:val="BrdtextChar"/>
    <w:qFormat/>
    <w:rsid w:val="00E51DE5"/>
    <w:pPr>
      <w:spacing w:after="120" w:line="280" w:lineRule="atLeast"/>
    </w:pPr>
    <w:rPr>
      <w:rFonts w:ascii="Garamond" w:hAnsi="Garamond"/>
      <w:sz w:val="24"/>
      <w:szCs w:val="24"/>
    </w:rPr>
  </w:style>
  <w:style w:type="character" w:customStyle="1" w:styleId="BrdtextChar">
    <w:name w:val="Brödtext Char"/>
    <w:basedOn w:val="Standardstycketeckensnitt"/>
    <w:link w:val="Brdtext"/>
    <w:rsid w:val="00E51DE5"/>
    <w:rPr>
      <w:rFonts w:ascii="Garamond" w:eastAsia="Times New Roman" w:hAnsi="Garamond" w:cs="Times New Roman"/>
      <w:sz w:val="24"/>
      <w:szCs w:val="24"/>
      <w:lang w:eastAsia="sv-SE"/>
    </w:rPr>
  </w:style>
  <w:style w:type="paragraph" w:styleId="Liststycke">
    <w:name w:val="List Paragraph"/>
    <w:basedOn w:val="Normal"/>
    <w:uiPriority w:val="34"/>
    <w:qFormat/>
    <w:rsid w:val="00E51DE5"/>
    <w:pPr>
      <w:spacing w:after="120"/>
      <w:ind w:left="720"/>
      <w:contextualSpacing/>
    </w:pPr>
    <w:rPr>
      <w:sz w:val="24"/>
      <w:szCs w:val="24"/>
    </w:rPr>
  </w:style>
  <w:style w:type="paragraph" w:styleId="Ingetavstnd">
    <w:name w:val="No Spacing"/>
    <w:uiPriority w:val="1"/>
    <w:qFormat/>
    <w:rsid w:val="00E51DE5"/>
    <w:pPr>
      <w:spacing w:after="0" w:line="240" w:lineRule="auto"/>
    </w:pPr>
    <w:rPr>
      <w:rFonts w:ascii="Times New Roman" w:hAnsi="Times New Roman"/>
      <w:sz w:val="24"/>
    </w:rPr>
  </w:style>
  <w:style w:type="paragraph" w:customStyle="1" w:styleId="BrdtextTierp">
    <w:name w:val="Brödtext Tierp"/>
    <w:basedOn w:val="Normal"/>
    <w:link w:val="BrdtextTierpChar"/>
    <w:qFormat/>
    <w:rsid w:val="00E51DE5"/>
    <w:rPr>
      <w:rFonts w:eastAsiaTheme="minorHAnsi"/>
      <w:sz w:val="24"/>
      <w:szCs w:val="24"/>
      <w:lang w:eastAsia="en-US"/>
    </w:rPr>
  </w:style>
  <w:style w:type="character" w:customStyle="1" w:styleId="BrdtextTierpChar">
    <w:name w:val="Brödtext Tierp Char"/>
    <w:basedOn w:val="Standardstycketeckensnitt"/>
    <w:link w:val="BrdtextTierp"/>
    <w:rsid w:val="00E51DE5"/>
    <w:rPr>
      <w:rFonts w:ascii="Times New Roman" w:hAnsi="Times New Roman" w:cs="Times New Roman"/>
      <w:sz w:val="24"/>
      <w:szCs w:val="24"/>
    </w:rPr>
  </w:style>
  <w:style w:type="character" w:styleId="Stark">
    <w:name w:val="Strong"/>
    <w:basedOn w:val="Standardstycketeckensnitt"/>
    <w:uiPriority w:val="22"/>
    <w:qFormat/>
    <w:rsid w:val="00E51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dhandboken.se/vard-och-behandling/lakemedelsbehandling/cytostatika-cytotoxiska-lakemedel/oversikt/" TargetMode="External"/><Relationship Id="rId3" Type="http://schemas.openxmlformats.org/officeDocument/2006/relationships/settings" Target="settings.xml"/><Relationship Id="rId7" Type="http://schemas.openxmlformats.org/officeDocument/2006/relationships/hyperlink" Target="https://www.av.se/halsa-och-sakerhet/kemiska-risker/risker-for-vissa-amnen-produkter-och-verksamheter/lakemedel-ar-en-kemisk-riskkalla/cytostatika-och-cytotoxiska-lakemedel/?hl=cytostatika%20och%20andra%20l%C3%A4keme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se/arbetsmiljoarbete-och-inspektioner/publikationer/foreskrifter/afs-2023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ardhandboken.se/vardhygien-infektioner-och-smittspridning/stadning-och-rengoring/avfall-farligt/cytostatika-cytotoxiska-lakemede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1204</Words>
  <Characters>6382</Characters>
  <Application>Microsoft Office Word</Application>
  <DocSecurity>0</DocSecurity>
  <Lines>53</Lines>
  <Paragraphs>15</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Bilaga 6  - Cytostatikabehandling </vt:lpstr>
    </vt:vector>
  </TitlesOfParts>
  <Company>Östhammars Kommun</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Rönnback</dc:creator>
  <cp:keywords/>
  <dc:description/>
  <cp:lastModifiedBy>Anita Rönnback</cp:lastModifiedBy>
  <cp:revision>2</cp:revision>
  <dcterms:created xsi:type="dcterms:W3CDTF">2026-01-19T17:02:00Z</dcterms:created>
  <dcterms:modified xsi:type="dcterms:W3CDTF">2026-01-19T17:15:00Z</dcterms:modified>
</cp:coreProperties>
</file>