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F0" w:rsidRPr="00A240BA" w:rsidRDefault="00A240BA" w:rsidP="00A240BA">
      <w:pPr>
        <w:jc w:val="center"/>
        <w:rPr>
          <w:b/>
          <w:sz w:val="36"/>
          <w:szCs w:val="36"/>
        </w:rPr>
      </w:pPr>
      <w:r w:rsidRPr="00A240BA">
        <w:rPr>
          <w:b/>
          <w:sz w:val="36"/>
          <w:szCs w:val="36"/>
        </w:rPr>
        <w:t>Daglig verksamhet – Nyckel för nivåer</w:t>
      </w:r>
    </w:p>
    <w:p w:rsidR="00A240BA" w:rsidRDefault="00A240BA"/>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048"/>
      </w:tblGrid>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Nivå</w:t>
            </w:r>
          </w:p>
        </w:tc>
        <w:tc>
          <w:tcPr>
            <w:tcW w:w="1357" w:type="dxa"/>
            <w:shd w:val="clear" w:color="auto" w:fill="auto"/>
          </w:tcPr>
          <w:p w:rsidR="00A240BA" w:rsidRPr="00975D1E" w:rsidRDefault="00A240BA" w:rsidP="00A3013F">
            <w:pPr>
              <w:rPr>
                <w:b/>
                <w:sz w:val="32"/>
                <w:szCs w:val="32"/>
              </w:rPr>
            </w:pPr>
            <w:r w:rsidRPr="00975D1E">
              <w:rPr>
                <w:b/>
                <w:sz w:val="32"/>
                <w:szCs w:val="32"/>
              </w:rPr>
              <w:t>Poäng</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1</w:t>
            </w:r>
          </w:p>
        </w:tc>
        <w:tc>
          <w:tcPr>
            <w:tcW w:w="1357" w:type="dxa"/>
            <w:shd w:val="clear" w:color="auto" w:fill="auto"/>
          </w:tcPr>
          <w:p w:rsidR="00A240BA" w:rsidRPr="00975D1E" w:rsidRDefault="00A240BA" w:rsidP="00A3013F">
            <w:pPr>
              <w:rPr>
                <w:sz w:val="28"/>
                <w:szCs w:val="28"/>
              </w:rPr>
            </w:pPr>
            <w:r w:rsidRPr="00975D1E">
              <w:rPr>
                <w:sz w:val="28"/>
                <w:szCs w:val="28"/>
              </w:rPr>
              <w:t>0-11</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2</w:t>
            </w:r>
          </w:p>
        </w:tc>
        <w:tc>
          <w:tcPr>
            <w:tcW w:w="1357" w:type="dxa"/>
            <w:shd w:val="clear" w:color="auto" w:fill="auto"/>
          </w:tcPr>
          <w:p w:rsidR="00A240BA" w:rsidRPr="00975D1E" w:rsidRDefault="00A240BA" w:rsidP="00A3013F">
            <w:pPr>
              <w:rPr>
                <w:sz w:val="28"/>
                <w:szCs w:val="28"/>
              </w:rPr>
            </w:pPr>
            <w:r w:rsidRPr="00975D1E">
              <w:rPr>
                <w:sz w:val="28"/>
                <w:szCs w:val="28"/>
              </w:rPr>
              <w:t>12-33</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3</w:t>
            </w:r>
          </w:p>
        </w:tc>
        <w:tc>
          <w:tcPr>
            <w:tcW w:w="1357" w:type="dxa"/>
            <w:shd w:val="clear" w:color="auto" w:fill="auto"/>
          </w:tcPr>
          <w:p w:rsidR="00A240BA" w:rsidRPr="00975D1E" w:rsidRDefault="00A240BA" w:rsidP="00A3013F">
            <w:pPr>
              <w:rPr>
                <w:sz w:val="28"/>
                <w:szCs w:val="28"/>
              </w:rPr>
            </w:pPr>
            <w:r w:rsidRPr="00975D1E">
              <w:rPr>
                <w:sz w:val="28"/>
                <w:szCs w:val="28"/>
              </w:rPr>
              <w:t>34-46</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4</w:t>
            </w:r>
          </w:p>
        </w:tc>
        <w:tc>
          <w:tcPr>
            <w:tcW w:w="1357" w:type="dxa"/>
            <w:shd w:val="clear" w:color="auto" w:fill="auto"/>
          </w:tcPr>
          <w:p w:rsidR="00A240BA" w:rsidRPr="00975D1E" w:rsidRDefault="00A240BA" w:rsidP="00A3013F">
            <w:pPr>
              <w:rPr>
                <w:sz w:val="28"/>
                <w:szCs w:val="28"/>
              </w:rPr>
            </w:pPr>
            <w:r w:rsidRPr="00975D1E">
              <w:rPr>
                <w:sz w:val="28"/>
                <w:szCs w:val="28"/>
              </w:rPr>
              <w:t>47-69</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5</w:t>
            </w:r>
          </w:p>
        </w:tc>
        <w:tc>
          <w:tcPr>
            <w:tcW w:w="1357" w:type="dxa"/>
            <w:shd w:val="clear" w:color="auto" w:fill="auto"/>
          </w:tcPr>
          <w:p w:rsidR="00A240BA" w:rsidRPr="00975D1E" w:rsidRDefault="00A240BA" w:rsidP="00A3013F">
            <w:pPr>
              <w:rPr>
                <w:sz w:val="28"/>
                <w:szCs w:val="28"/>
              </w:rPr>
            </w:pPr>
            <w:r w:rsidRPr="00975D1E">
              <w:rPr>
                <w:sz w:val="28"/>
                <w:szCs w:val="28"/>
              </w:rPr>
              <w:t>70-81</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6</w:t>
            </w:r>
          </w:p>
        </w:tc>
        <w:tc>
          <w:tcPr>
            <w:tcW w:w="1357" w:type="dxa"/>
            <w:shd w:val="clear" w:color="auto" w:fill="auto"/>
          </w:tcPr>
          <w:p w:rsidR="00A240BA" w:rsidRPr="00975D1E" w:rsidRDefault="00A240BA" w:rsidP="00A3013F">
            <w:pPr>
              <w:rPr>
                <w:sz w:val="28"/>
                <w:szCs w:val="28"/>
              </w:rPr>
            </w:pPr>
            <w:r w:rsidRPr="00975D1E">
              <w:rPr>
                <w:sz w:val="28"/>
                <w:szCs w:val="28"/>
              </w:rPr>
              <w:t>82-99</w:t>
            </w:r>
          </w:p>
        </w:tc>
      </w:tr>
      <w:tr w:rsidR="00A240BA" w:rsidRPr="00975D1E" w:rsidTr="00A3013F">
        <w:tc>
          <w:tcPr>
            <w:tcW w:w="1188" w:type="dxa"/>
            <w:shd w:val="clear" w:color="auto" w:fill="auto"/>
          </w:tcPr>
          <w:p w:rsidR="00A240BA" w:rsidRPr="00975D1E" w:rsidRDefault="00A240BA" w:rsidP="00A3013F">
            <w:pPr>
              <w:rPr>
                <w:b/>
                <w:sz w:val="32"/>
                <w:szCs w:val="32"/>
              </w:rPr>
            </w:pPr>
            <w:r w:rsidRPr="00975D1E">
              <w:rPr>
                <w:b/>
                <w:sz w:val="32"/>
                <w:szCs w:val="32"/>
              </w:rPr>
              <w:t>7</w:t>
            </w:r>
          </w:p>
        </w:tc>
        <w:tc>
          <w:tcPr>
            <w:tcW w:w="1357" w:type="dxa"/>
            <w:shd w:val="clear" w:color="auto" w:fill="auto"/>
          </w:tcPr>
          <w:p w:rsidR="00A240BA" w:rsidRPr="00975D1E" w:rsidRDefault="00A240BA" w:rsidP="00A3013F">
            <w:pPr>
              <w:rPr>
                <w:sz w:val="28"/>
                <w:szCs w:val="28"/>
              </w:rPr>
            </w:pPr>
            <w:r w:rsidRPr="00975D1E">
              <w:rPr>
                <w:sz w:val="28"/>
                <w:szCs w:val="28"/>
              </w:rPr>
              <w:t>100-</w:t>
            </w:r>
          </w:p>
        </w:tc>
      </w:tr>
    </w:tbl>
    <w:p w:rsidR="00A240BA" w:rsidRDefault="00A240BA"/>
    <w:p w:rsidR="00687678" w:rsidRDefault="00687678"/>
    <w:p w:rsidR="00687678" w:rsidRPr="00901CAB" w:rsidRDefault="00687678" w:rsidP="00687678">
      <w:pPr>
        <w:rPr>
          <w:b/>
        </w:rPr>
      </w:pPr>
      <w:r w:rsidRPr="00901CAB">
        <w:rPr>
          <w:b/>
        </w:rPr>
        <w:t>Nivå 1</w:t>
      </w:r>
    </w:p>
    <w:p w:rsidR="00687678" w:rsidRDefault="00687678" w:rsidP="00687678">
      <w:r>
        <w:t>Denna grupp avser personer som har daglig verksamhet som är individuellt integrerad på vanliga arbetsplatser. Arbetshandledare från daglig verksamhet följer upp med viss regelbundenhet och kan vid behov komma för att ge stöd till personen och/ eller arbetsplatsens personal.</w:t>
      </w:r>
    </w:p>
    <w:p w:rsidR="00687678" w:rsidRDefault="00687678" w:rsidP="00687678"/>
    <w:p w:rsidR="00687678" w:rsidRPr="00901CAB" w:rsidRDefault="00687678" w:rsidP="00687678">
      <w:pPr>
        <w:rPr>
          <w:b/>
        </w:rPr>
      </w:pPr>
      <w:r w:rsidRPr="00901CAB">
        <w:rPr>
          <w:b/>
        </w:rPr>
        <w:t>Nivå 2</w:t>
      </w:r>
    </w:p>
    <w:p w:rsidR="00687678" w:rsidRDefault="00687678" w:rsidP="00687678">
      <w:r>
        <w:t>Dessa personer arbetar i ett arbetslag eller en grupp med stöd av anställd arbetshandledare (LSS). De är självständiga i sitt arbete men behöver veta att arbetshandledaren finns tillhands vid behov, i regel en kortare kontakt varje dag.</w:t>
      </w:r>
    </w:p>
    <w:p w:rsidR="00687678" w:rsidRDefault="00687678" w:rsidP="00687678"/>
    <w:p w:rsidR="00687678" w:rsidRPr="00901CAB" w:rsidRDefault="00687678" w:rsidP="00687678">
      <w:pPr>
        <w:rPr>
          <w:b/>
        </w:rPr>
      </w:pPr>
      <w:r w:rsidRPr="00901CAB">
        <w:rPr>
          <w:b/>
        </w:rPr>
        <w:t>Nivå 3</w:t>
      </w:r>
    </w:p>
    <w:p w:rsidR="00687678" w:rsidRDefault="00687678" w:rsidP="00687678">
      <w:r>
        <w:t xml:space="preserve">Arbetshandledaren behöver i regel stödja personen med att komma igång med aktiviteter och arbetsuppgifter. Arbetshandledaren kan även medverka i enstaka moment men behöver inte vara med hela tiden som aktiviteten/arbetet pågår. Stödet kan även bestå av </w:t>
      </w:r>
      <w:proofErr w:type="spellStart"/>
      <w:r>
        <w:t>påputtning</w:t>
      </w:r>
      <w:proofErr w:type="spellEnd"/>
      <w:r>
        <w:t xml:space="preserve"> att komma ihåg tider eller vad som ska göras under dagen etc.</w:t>
      </w:r>
    </w:p>
    <w:p w:rsidR="00687678" w:rsidRDefault="00687678" w:rsidP="00687678"/>
    <w:p w:rsidR="00687678" w:rsidRPr="00901CAB" w:rsidRDefault="00687678" w:rsidP="00687678">
      <w:pPr>
        <w:rPr>
          <w:b/>
        </w:rPr>
      </w:pPr>
      <w:r w:rsidRPr="00901CAB">
        <w:rPr>
          <w:b/>
        </w:rPr>
        <w:t>Nivå 4</w:t>
      </w:r>
    </w:p>
    <w:p w:rsidR="00687678" w:rsidRDefault="00687678" w:rsidP="00687678">
      <w:r>
        <w:t>Personalen är ofta närvarande och kan ge stöd vid flera moment när olika aktiviteter/arbetsuppgifter utförs. Personalen ger kontinuerligt stöd till personen av fysiska, psykiska och/eller sociala skäl.</w:t>
      </w:r>
    </w:p>
    <w:p w:rsidR="00687678" w:rsidRDefault="00687678" w:rsidP="00687678"/>
    <w:p w:rsidR="00687678" w:rsidRPr="00901CAB" w:rsidRDefault="00687678" w:rsidP="00687678">
      <w:pPr>
        <w:rPr>
          <w:b/>
        </w:rPr>
      </w:pPr>
      <w:r w:rsidRPr="00901CAB">
        <w:rPr>
          <w:b/>
        </w:rPr>
        <w:t>Nivå 5</w:t>
      </w:r>
    </w:p>
    <w:p w:rsidR="00687678" w:rsidRDefault="00687678" w:rsidP="00687678">
      <w:r>
        <w:t>En personal är närvarande i stort sett hela tiden för personen som kräver nästan oavbruten uppmärksamhet av omfattande fysiska, psykiska eller sociala skäl. Det krävs även tid för motiveringsinsatser.</w:t>
      </w:r>
    </w:p>
    <w:p w:rsidR="00687678" w:rsidRDefault="00687678" w:rsidP="00687678"/>
    <w:p w:rsidR="00687678" w:rsidRPr="00901CAB" w:rsidRDefault="00687678" w:rsidP="00687678">
      <w:pPr>
        <w:rPr>
          <w:b/>
        </w:rPr>
      </w:pPr>
      <w:r w:rsidRPr="00901CAB">
        <w:rPr>
          <w:b/>
        </w:rPr>
        <w:t>Nivå 6</w:t>
      </w:r>
    </w:p>
    <w:p w:rsidR="00687678" w:rsidRDefault="00687678" w:rsidP="00687678">
      <w:r>
        <w:t>Personen behöver minst en personal för att kunna delta i verksamheten. Ofta krävs speciella lösningar i den dagliga verksamhetens utformning och/eller läge.</w:t>
      </w:r>
    </w:p>
    <w:p w:rsidR="00687678" w:rsidRDefault="00687678" w:rsidP="00687678"/>
    <w:p w:rsidR="00687678" w:rsidRPr="00901CAB" w:rsidRDefault="00687678" w:rsidP="00687678">
      <w:pPr>
        <w:rPr>
          <w:b/>
        </w:rPr>
      </w:pPr>
      <w:r w:rsidRPr="00901CAB">
        <w:rPr>
          <w:b/>
        </w:rPr>
        <w:t>Nivå 7</w:t>
      </w:r>
    </w:p>
    <w:p w:rsidR="00687678" w:rsidRDefault="00687678">
      <w:r>
        <w:t xml:space="preserve">Denna grupp avser personer som har ett exceptionellt stort personalstöd. Dessutom krävs i regel att annan personal arbetar i närheten (för att kunna ge stöd vid behov). </w:t>
      </w:r>
      <w:r>
        <w:lastRenderedPageBreak/>
        <w:t>Ofta krävs specialanpassade lösningar i den dagliga verksamhetens utformning och/eller läge.</w:t>
      </w:r>
      <w:bookmarkStart w:id="0" w:name="_GoBack"/>
      <w:bookmarkEnd w:id="0"/>
    </w:p>
    <w:sectPr w:rsidR="00687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BA"/>
    <w:rsid w:val="00687678"/>
    <w:rsid w:val="009822F0"/>
    <w:rsid w:val="00A240BA"/>
    <w:rsid w:val="00CA2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44BFB-2C2C-48E2-8496-8B62C954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BA"/>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1539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Rankka, Karolina</dc:creator>
  <cp:keywords/>
  <dc:description/>
  <cp:lastModifiedBy>Bäckström, Carina</cp:lastModifiedBy>
  <cp:revision>2</cp:revision>
  <dcterms:created xsi:type="dcterms:W3CDTF">2023-02-20T14:36:00Z</dcterms:created>
  <dcterms:modified xsi:type="dcterms:W3CDTF">2023-02-20T14:36:00Z</dcterms:modified>
</cp:coreProperties>
</file>