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1</w:t>
            </w:r>
          </w:p>
        </w:tc>
        <w:tc>
          <w:tcPr>
            <w:tcW w:w="4126" w:type="dxa"/>
          </w:tcPr>
          <w:p w:rsidR="00DA2E0B" w:rsidRDefault="00DA2E0B" w:rsidP="00F93203">
            <w:r>
              <w:t>Kontakt tas vid behov med uppgiftslämnare</w:t>
            </w:r>
          </w:p>
        </w:tc>
        <w:tc>
          <w:tcPr>
            <w:tcW w:w="2977" w:type="dxa"/>
          </w:tcPr>
          <w:p w:rsidR="00DA2E0B" w:rsidRDefault="00A209C8" w:rsidP="00F93203">
            <w:r>
              <w:t>Mottagning/</w:t>
            </w:r>
            <w:r w:rsidR="00DA2E0B">
              <w:t>Handläggare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DA2E0B" w:rsidRDefault="00DA2E0B" w:rsidP="00F93203"/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2</w:t>
            </w:r>
          </w:p>
        </w:tc>
        <w:tc>
          <w:tcPr>
            <w:tcW w:w="4126" w:type="dxa"/>
          </w:tcPr>
          <w:p w:rsidR="00DA2E0B" w:rsidRDefault="00DA2E0B" w:rsidP="00F93203">
            <w:r>
              <w:t>Kontakt tas med vårdnadshavare och barn/den unge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Mottagning/Handläggare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891D5D" w:rsidRDefault="00891D5D" w:rsidP="00891D5D">
            <w:r>
              <w:t xml:space="preserve">Kallelse vid orosanmälan </w:t>
            </w:r>
            <w:proofErr w:type="spellStart"/>
            <w:r>
              <w:t>Bou</w:t>
            </w:r>
            <w:proofErr w:type="spellEnd"/>
            <w:r>
              <w:t xml:space="preserve"> – mall</w:t>
            </w:r>
          </w:p>
          <w:p w:rsidR="00DA2E0B" w:rsidRPr="000359ED" w:rsidRDefault="00DA2E0B" w:rsidP="00891D5D">
            <w:pPr>
              <w:rPr>
                <w:color w:val="FF0000"/>
              </w:rPr>
            </w:pPr>
            <w:bookmarkStart w:id="0" w:name="_GoBack"/>
            <w:bookmarkEnd w:id="0"/>
            <w:r>
              <w:t>Om det föreligger särskilda skäl att inte ta kontakt med vårdnadshavare ska detta tydligt dokumenteras</w:t>
            </w:r>
            <w:r w:rsidR="00733C63">
              <w:t>.</w:t>
            </w:r>
            <w:r w:rsidR="00F26916">
              <w:t xml:space="preserve"> </w:t>
            </w:r>
            <w:r>
              <w:t>Om barnet inte kommit till tals ska andledning till detta dokumenteras.</w:t>
            </w:r>
            <w:r w:rsidR="000359ED">
              <w:rPr>
                <w:color w:val="FF0000"/>
              </w:rPr>
              <w:t xml:space="preserve"> </w:t>
            </w:r>
          </w:p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3</w:t>
            </w:r>
          </w:p>
        </w:tc>
        <w:tc>
          <w:tcPr>
            <w:tcW w:w="4126" w:type="dxa"/>
          </w:tcPr>
          <w:p w:rsidR="00DA2E0B" w:rsidRDefault="00DA2E0B" w:rsidP="00F93203">
            <w:r>
              <w:t>Anmälningsmöte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Mottagning/Handläggare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DA2E0B" w:rsidRDefault="00DA2E0B" w:rsidP="004B6651">
            <w:r>
              <w:t>Om det är till barnets bästa erbjuds ett anmälningsmöte om anmälare omfattas av anmälningsskyldighet.</w:t>
            </w:r>
          </w:p>
        </w:tc>
      </w:tr>
      <w:tr w:rsidR="00DA2E0B" w:rsidTr="007857AC">
        <w:tc>
          <w:tcPr>
            <w:tcW w:w="518" w:type="dxa"/>
          </w:tcPr>
          <w:p w:rsidR="00DA2E0B" w:rsidRDefault="00DA2E0B" w:rsidP="00F93203">
            <w:r>
              <w:t>9</w:t>
            </w:r>
          </w:p>
        </w:tc>
        <w:tc>
          <w:tcPr>
            <w:tcW w:w="4126" w:type="dxa"/>
          </w:tcPr>
          <w:p w:rsidR="00DA2E0B" w:rsidRDefault="00DA2E0B" w:rsidP="00F93203">
            <w:r>
              <w:t>Bedömning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Mottagning/Handläggare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DA2E0B" w:rsidRDefault="00DA2E0B" w:rsidP="00F93203">
            <w:r>
              <w:t>Om den enskilde inte går att nå skall det ändå inom 2 veckor bedömas om utredning skall inledas eller inte.</w:t>
            </w:r>
            <w:r w:rsidR="000359ED">
              <w:t xml:space="preserve"> Vid behov dokumentera under rubriken övrigt.</w:t>
            </w:r>
          </w:p>
        </w:tc>
      </w:tr>
      <w:tr w:rsidR="000359ED" w:rsidTr="007857AC">
        <w:tc>
          <w:tcPr>
            <w:tcW w:w="518" w:type="dxa"/>
          </w:tcPr>
          <w:p w:rsidR="000359ED" w:rsidRDefault="000359ED" w:rsidP="00F93203">
            <w:r>
              <w:t>10</w:t>
            </w:r>
          </w:p>
        </w:tc>
        <w:tc>
          <w:tcPr>
            <w:tcW w:w="4126" w:type="dxa"/>
          </w:tcPr>
          <w:p w:rsidR="000359ED" w:rsidRDefault="000359ED" w:rsidP="00F93203">
            <w:r>
              <w:t>Dokumentation</w:t>
            </w:r>
          </w:p>
        </w:tc>
        <w:tc>
          <w:tcPr>
            <w:tcW w:w="2977" w:type="dxa"/>
          </w:tcPr>
          <w:p w:rsidR="000359ED" w:rsidRDefault="000359ED" w:rsidP="00A209C8">
            <w:r>
              <w:t>Mottagning/Handläggare</w:t>
            </w:r>
          </w:p>
        </w:tc>
        <w:tc>
          <w:tcPr>
            <w:tcW w:w="2126" w:type="dxa"/>
          </w:tcPr>
          <w:p w:rsidR="000359ED" w:rsidRDefault="000359ED" w:rsidP="00F93203"/>
        </w:tc>
        <w:tc>
          <w:tcPr>
            <w:tcW w:w="4473" w:type="dxa"/>
          </w:tcPr>
          <w:p w:rsidR="000359ED" w:rsidRDefault="000359ED" w:rsidP="00F93203">
            <w:r w:rsidRPr="003B191E">
              <w:t>Fyll i samtliga uppgifter som efterfrågas i verksamhetssystemet</w:t>
            </w:r>
            <w:r>
              <w:t xml:space="preserve"> from rubriken kontakter under förhandsbedömning</w:t>
            </w:r>
            <w:r w:rsidRPr="003B191E">
              <w:t>, även de som är avsedda för verksamhetsuppföljning.</w:t>
            </w:r>
          </w:p>
        </w:tc>
      </w:tr>
    </w:tbl>
    <w:p w:rsidR="0050162D" w:rsidRDefault="0050162D" w:rsidP="00F93203">
      <w:r>
        <w:t>Att tänka på</w:t>
      </w:r>
      <w:r w:rsidR="000359ED">
        <w:t>:</w:t>
      </w:r>
    </w:p>
    <w:p w:rsidR="0050162D" w:rsidRDefault="0050162D" w:rsidP="0050162D">
      <w:pPr>
        <w:pStyle w:val="Liststycke"/>
        <w:numPr>
          <w:ilvl w:val="0"/>
          <w:numId w:val="1"/>
        </w:numPr>
      </w:pPr>
      <w:r>
        <w:t>Kontakt med andra än de som nämnts ovan är att betrakta som en utredningsåtgärd</w:t>
      </w:r>
      <w:r w:rsidR="000359ED">
        <w:t>. Om det finns behov av ytterligare kontakter, indikerar det att oron är så stark att en utredning skall inledas. I regel görs inga hembesök.</w:t>
      </w:r>
    </w:p>
    <w:p w:rsidR="0050162D" w:rsidRDefault="0050162D" w:rsidP="0050162D">
      <w:pPr>
        <w:pStyle w:val="Liststycke"/>
        <w:numPr>
          <w:ilvl w:val="0"/>
          <w:numId w:val="1"/>
        </w:numPr>
      </w:pPr>
      <w:r>
        <w:t>Behov av ett flertal kontakter med barnet eller vårdnadshavaren bör leda till frågan om en utredning bör inledas.</w:t>
      </w:r>
    </w:p>
    <w:sectPr w:rsidR="0050162D" w:rsidSect="00D46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81" w:rsidRDefault="00D1128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ED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5D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81" w:rsidRDefault="00D1128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81" w:rsidRDefault="00D1128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160E7127" wp14:editId="43179832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11281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Förhandsbedömning BoU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7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inom </w:t>
          </w:r>
          <w:proofErr w:type="spellStart"/>
          <w:r>
            <w:rPr>
              <w:rFonts w:ascii="Arial" w:hAnsi="Arial" w:cs="Arial"/>
            </w:rPr>
            <w:t>bou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2017-10-10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359ED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214D0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B6651"/>
    <w:rsid w:val="004D67A8"/>
    <w:rsid w:val="004E3465"/>
    <w:rsid w:val="004F160B"/>
    <w:rsid w:val="004F7C30"/>
    <w:rsid w:val="0050162D"/>
    <w:rsid w:val="005369BB"/>
    <w:rsid w:val="0054712D"/>
    <w:rsid w:val="005D15F1"/>
    <w:rsid w:val="005D6018"/>
    <w:rsid w:val="005F38BD"/>
    <w:rsid w:val="00610719"/>
    <w:rsid w:val="00612DB5"/>
    <w:rsid w:val="00654EB5"/>
    <w:rsid w:val="00660316"/>
    <w:rsid w:val="00674BDD"/>
    <w:rsid w:val="006968B9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1D5D"/>
    <w:rsid w:val="00892305"/>
    <w:rsid w:val="008A57E3"/>
    <w:rsid w:val="008B6BC4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158A"/>
    <w:rsid w:val="009D3043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BAA"/>
    <w:rsid w:val="00AF6C95"/>
    <w:rsid w:val="00B52B11"/>
    <w:rsid w:val="00B545C4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B1BC0"/>
    <w:rsid w:val="00CC2B67"/>
    <w:rsid w:val="00CF503D"/>
    <w:rsid w:val="00D05751"/>
    <w:rsid w:val="00D1128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D4FA4"/>
    <w:rsid w:val="00DD5D5C"/>
    <w:rsid w:val="00DF1F80"/>
    <w:rsid w:val="00DF54DD"/>
    <w:rsid w:val="00E1531E"/>
    <w:rsid w:val="00E27BCA"/>
    <w:rsid w:val="00E47DA0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5</cp:revision>
  <cp:lastPrinted>2017-09-28T07:45:00Z</cp:lastPrinted>
  <dcterms:created xsi:type="dcterms:W3CDTF">2018-05-22T10:13:00Z</dcterms:created>
  <dcterms:modified xsi:type="dcterms:W3CDTF">2018-08-13T13:03:00Z</dcterms:modified>
</cp:coreProperties>
</file>