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837" w:rsidRDefault="00563837">
      <w:pPr>
        <w:rPr>
          <w:sz w:val="32"/>
          <w:szCs w:val="32"/>
        </w:rPr>
      </w:pPr>
      <w:r w:rsidRPr="00162FBD">
        <w:rPr>
          <w:rFonts w:ascii="Arial" w:hAnsi="Arial" w:cs="Arial"/>
          <w:noProof/>
          <w:lang w:eastAsia="sv-SE"/>
        </w:rPr>
        <w:drawing>
          <wp:inline distT="0" distB="0" distL="0" distR="0" wp14:anchorId="66294D6D" wp14:editId="598C3DF1">
            <wp:extent cx="2076450" cy="6554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logga.jpg"/>
                    <pic:cNvPicPr/>
                  </pic:nvPicPr>
                  <pic:blipFill>
                    <a:blip r:embed="rId5">
                      <a:extLst>
                        <a:ext uri="{28A0092B-C50C-407E-A947-70E740481C1C}">
                          <a14:useLocalDpi xmlns:a14="http://schemas.microsoft.com/office/drawing/2010/main" val="0"/>
                        </a:ext>
                      </a:extLst>
                    </a:blip>
                    <a:stretch>
                      <a:fillRect/>
                    </a:stretch>
                  </pic:blipFill>
                  <pic:spPr>
                    <a:xfrm>
                      <a:off x="0" y="0"/>
                      <a:ext cx="2082179" cy="657299"/>
                    </a:xfrm>
                    <a:prstGeom prst="rect">
                      <a:avLst/>
                    </a:prstGeom>
                  </pic:spPr>
                </pic:pic>
              </a:graphicData>
            </a:graphic>
          </wp:inline>
        </w:drawing>
      </w:r>
      <w:bookmarkStart w:id="0" w:name="_GoBack"/>
      <w:bookmarkEnd w:id="0"/>
    </w:p>
    <w:p w:rsidR="00563837" w:rsidRDefault="00563837">
      <w:pPr>
        <w:rPr>
          <w:sz w:val="32"/>
          <w:szCs w:val="32"/>
        </w:rPr>
      </w:pPr>
    </w:p>
    <w:p w:rsidR="008A7E01" w:rsidRPr="001577FA" w:rsidRDefault="001577FA">
      <w:pPr>
        <w:rPr>
          <w:sz w:val="32"/>
          <w:szCs w:val="32"/>
        </w:rPr>
      </w:pPr>
      <w:r w:rsidRPr="001577FA">
        <w:rPr>
          <w:sz w:val="32"/>
          <w:szCs w:val="32"/>
        </w:rPr>
        <w:t>Kommunservice</w:t>
      </w:r>
      <w:r w:rsidRPr="001577FA">
        <w:rPr>
          <w:sz w:val="32"/>
          <w:szCs w:val="32"/>
        </w:rPr>
        <w:tab/>
      </w:r>
      <w:r w:rsidRPr="001577FA">
        <w:rPr>
          <w:sz w:val="32"/>
          <w:szCs w:val="32"/>
        </w:rPr>
        <w:tab/>
      </w:r>
      <w:r w:rsidRPr="001577FA">
        <w:rPr>
          <w:sz w:val="32"/>
          <w:szCs w:val="32"/>
        </w:rPr>
        <w:tab/>
      </w:r>
      <w:r w:rsidRPr="001577FA">
        <w:rPr>
          <w:sz w:val="32"/>
          <w:szCs w:val="32"/>
        </w:rPr>
        <w:tab/>
      </w:r>
    </w:p>
    <w:p w:rsidR="001577FA" w:rsidRPr="001577FA" w:rsidRDefault="001577FA">
      <w:pPr>
        <w:rPr>
          <w:sz w:val="32"/>
          <w:szCs w:val="32"/>
        </w:rPr>
      </w:pPr>
    </w:p>
    <w:p w:rsidR="001577FA" w:rsidRDefault="001577FA">
      <w:pPr>
        <w:rPr>
          <w:sz w:val="32"/>
          <w:szCs w:val="32"/>
        </w:rPr>
      </w:pPr>
      <w:r w:rsidRPr="001577FA">
        <w:rPr>
          <w:sz w:val="32"/>
          <w:szCs w:val="32"/>
        </w:rPr>
        <w:t>För att förtydliga reglerna kring frånvaro har vi nu arbetat fram nya riktlinjer.</w:t>
      </w:r>
    </w:p>
    <w:p w:rsidR="001577FA" w:rsidRDefault="001577FA">
      <w:pPr>
        <w:rPr>
          <w:sz w:val="32"/>
          <w:szCs w:val="32"/>
        </w:rPr>
      </w:pPr>
      <w:r>
        <w:rPr>
          <w:sz w:val="32"/>
          <w:szCs w:val="32"/>
        </w:rPr>
        <w:t>Nedanstående regler gäller alla som är i en kompetenshöjande insats.</w:t>
      </w:r>
    </w:p>
    <w:p w:rsidR="001577FA" w:rsidRDefault="001577FA">
      <w:pPr>
        <w:rPr>
          <w:sz w:val="32"/>
          <w:szCs w:val="32"/>
        </w:rPr>
      </w:pPr>
      <w:r>
        <w:rPr>
          <w:sz w:val="32"/>
          <w:szCs w:val="32"/>
        </w:rPr>
        <w:t>Ogiltig frånvaro är inte accepterat. Med ogiltig frånvaro menas att man är frånvarande från sin praktik utan att meddela arbetsledaren eller att det är uppenbart att skälet till frånvaro inte är sjukdom.</w:t>
      </w:r>
    </w:p>
    <w:p w:rsidR="001577FA" w:rsidRDefault="001577FA">
      <w:pPr>
        <w:rPr>
          <w:sz w:val="32"/>
          <w:szCs w:val="32"/>
        </w:rPr>
      </w:pPr>
      <w:r>
        <w:rPr>
          <w:sz w:val="32"/>
          <w:szCs w:val="32"/>
        </w:rPr>
        <w:t xml:space="preserve">Vid varje månadsrapport där det rapporterats om ogiltig frånvaro så görs en individuell bedömning. Bedömningen kan innefatta avdrag eller helt avslag beroende på omfattning och om det upprepas månad efter månad. </w:t>
      </w:r>
    </w:p>
    <w:p w:rsidR="001577FA" w:rsidRDefault="001577FA">
      <w:pPr>
        <w:rPr>
          <w:sz w:val="32"/>
          <w:szCs w:val="32"/>
        </w:rPr>
      </w:pPr>
      <w:r>
        <w:rPr>
          <w:sz w:val="32"/>
          <w:szCs w:val="32"/>
        </w:rPr>
        <w:t>Vid sjukdom anmäler man sig till Tommy som kan komma hem till den enskilde och göra ett alkotest om det finns behov av detta.</w:t>
      </w:r>
    </w:p>
    <w:p w:rsidR="001577FA" w:rsidRDefault="001577FA">
      <w:pPr>
        <w:rPr>
          <w:sz w:val="32"/>
          <w:szCs w:val="32"/>
        </w:rPr>
      </w:pPr>
      <w:r>
        <w:rPr>
          <w:sz w:val="32"/>
          <w:szCs w:val="32"/>
        </w:rPr>
        <w:t>Läkarintyg krävs från och med dag 8, här räkans även helgdagar in i beräkningen (som reglerna är i vanligt reguljärt arbete). Insjuknar man en onsdag så behövs läkarintyg från onsdagen därpå.</w:t>
      </w:r>
    </w:p>
    <w:p w:rsidR="001577FA" w:rsidRDefault="001577FA">
      <w:pPr>
        <w:rPr>
          <w:sz w:val="32"/>
          <w:szCs w:val="32"/>
        </w:rPr>
      </w:pPr>
      <w:r>
        <w:rPr>
          <w:sz w:val="32"/>
          <w:szCs w:val="32"/>
        </w:rPr>
        <w:t>Vid upprepad sjukfrånvaro kan vi begära in läkarintyg från dag ett.</w:t>
      </w:r>
    </w:p>
    <w:p w:rsidR="001577FA" w:rsidRDefault="001577FA">
      <w:pPr>
        <w:rPr>
          <w:sz w:val="32"/>
          <w:szCs w:val="32"/>
        </w:rPr>
      </w:pPr>
      <w:r>
        <w:rPr>
          <w:sz w:val="32"/>
          <w:szCs w:val="32"/>
        </w:rPr>
        <w:t>Vi beviljar ledighet under sommaren med två veckor förutsatt att man inte tagit ut den ledigheten under året i form av ogiltig frånvaro.</w:t>
      </w:r>
    </w:p>
    <w:p w:rsidR="001577FA" w:rsidRDefault="001577FA">
      <w:pPr>
        <w:rPr>
          <w:sz w:val="32"/>
          <w:szCs w:val="32"/>
        </w:rPr>
      </w:pPr>
    </w:p>
    <w:p w:rsidR="001577FA" w:rsidRDefault="001577FA">
      <w:pPr>
        <w:rPr>
          <w:sz w:val="32"/>
          <w:szCs w:val="32"/>
        </w:rPr>
      </w:pPr>
      <w:r>
        <w:rPr>
          <w:sz w:val="32"/>
          <w:szCs w:val="32"/>
        </w:rPr>
        <w:t xml:space="preserve">Socialförvaltingen </w:t>
      </w:r>
    </w:p>
    <w:p w:rsidR="001577FA" w:rsidRPr="001577FA" w:rsidRDefault="001577FA">
      <w:pPr>
        <w:rPr>
          <w:sz w:val="32"/>
          <w:szCs w:val="32"/>
        </w:rPr>
      </w:pPr>
      <w:r>
        <w:rPr>
          <w:sz w:val="32"/>
          <w:szCs w:val="32"/>
        </w:rPr>
        <w:t>Vuxensektionen</w:t>
      </w:r>
    </w:p>
    <w:sectPr w:rsidR="001577FA" w:rsidRPr="001577FA" w:rsidSect="00563837">
      <w:pgSz w:w="11906" w:h="16838"/>
      <w:pgMar w:top="73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FA"/>
    <w:rsid w:val="001577FA"/>
    <w:rsid w:val="00563837"/>
    <w:rsid w:val="008A7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6383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8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6383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8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967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Andersson, Eva (Soc)</dc:creator>
  <cp:lastModifiedBy>Andersson, Eva (Soc)</cp:lastModifiedBy>
  <cp:revision>2</cp:revision>
  <dcterms:created xsi:type="dcterms:W3CDTF">2018-08-21T13:21:00Z</dcterms:created>
  <dcterms:modified xsi:type="dcterms:W3CDTF">2018-08-21T13:21:00Z</dcterms:modified>
</cp:coreProperties>
</file>